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6A7" w:rsidRDefault="004B050A" w:rsidP="005E150C">
      <w:pPr>
        <w:autoSpaceDE w:val="0"/>
        <w:autoSpaceDN w:val="0"/>
        <w:adjustRightInd w:val="0"/>
        <w:jc w:val="center"/>
        <w:rPr>
          <w:b/>
          <w:bCs/>
          <w:iCs/>
          <w:color w:val="000000"/>
          <w:sz w:val="36"/>
          <w:szCs w:val="36"/>
        </w:rPr>
      </w:pPr>
      <w:r>
        <w:rPr>
          <w:b/>
          <w:bCs/>
          <w:iCs/>
          <w:color w:val="000000"/>
          <w:sz w:val="36"/>
          <w:szCs w:val="36"/>
        </w:rPr>
        <w:t xml:space="preserve">Polymer </w:t>
      </w:r>
      <w:r w:rsidR="00FD66A7">
        <w:rPr>
          <w:b/>
          <w:bCs/>
          <w:iCs/>
          <w:color w:val="000000"/>
          <w:sz w:val="36"/>
          <w:szCs w:val="36"/>
        </w:rPr>
        <w:t>Anti-</w:t>
      </w:r>
      <w:r w:rsidR="007C0165">
        <w:rPr>
          <w:b/>
          <w:bCs/>
          <w:iCs/>
          <w:color w:val="000000"/>
          <w:sz w:val="36"/>
          <w:szCs w:val="36"/>
        </w:rPr>
        <w:t>Mouse</w:t>
      </w:r>
      <w:r w:rsidR="00FD66A7">
        <w:rPr>
          <w:b/>
          <w:bCs/>
          <w:iCs/>
          <w:color w:val="000000"/>
          <w:sz w:val="36"/>
          <w:szCs w:val="36"/>
        </w:rPr>
        <w:t>/</w:t>
      </w:r>
      <w:r w:rsidR="007C0165">
        <w:rPr>
          <w:b/>
          <w:bCs/>
          <w:iCs/>
          <w:color w:val="000000"/>
          <w:sz w:val="36"/>
          <w:szCs w:val="36"/>
        </w:rPr>
        <w:t>Rabbit HRP</w:t>
      </w:r>
      <w:r>
        <w:rPr>
          <w:b/>
          <w:bCs/>
          <w:iCs/>
          <w:color w:val="000000"/>
          <w:sz w:val="36"/>
          <w:szCs w:val="36"/>
        </w:rPr>
        <w:t>-DAB</w:t>
      </w:r>
      <w:r w:rsidR="007C0165">
        <w:rPr>
          <w:b/>
          <w:bCs/>
          <w:iCs/>
          <w:color w:val="000000"/>
          <w:sz w:val="36"/>
          <w:szCs w:val="36"/>
        </w:rPr>
        <w:t xml:space="preserve"> </w:t>
      </w:r>
    </w:p>
    <w:p w:rsidR="005E150C" w:rsidRDefault="007C0165" w:rsidP="005E150C">
      <w:pPr>
        <w:autoSpaceDE w:val="0"/>
        <w:autoSpaceDN w:val="0"/>
        <w:adjustRightInd w:val="0"/>
        <w:jc w:val="center"/>
        <w:rPr>
          <w:b/>
          <w:bCs/>
          <w:iCs/>
          <w:color w:val="000000"/>
          <w:sz w:val="36"/>
          <w:szCs w:val="36"/>
        </w:rPr>
      </w:pPr>
      <w:r>
        <w:rPr>
          <w:b/>
          <w:bCs/>
          <w:iCs/>
          <w:color w:val="000000"/>
          <w:sz w:val="36"/>
          <w:szCs w:val="36"/>
        </w:rPr>
        <w:t>Dual Kit</w:t>
      </w:r>
    </w:p>
    <w:p w:rsidR="007C0165" w:rsidRDefault="007C0165" w:rsidP="005E150C">
      <w:pPr>
        <w:autoSpaceDE w:val="0"/>
        <w:autoSpaceDN w:val="0"/>
        <w:adjustRightInd w:val="0"/>
        <w:rPr>
          <w:rFonts w:ascii="ArialMT" w:hAnsi="ArialMT" w:cs="ArialMT"/>
          <w:b/>
        </w:rPr>
      </w:pPr>
    </w:p>
    <w:p w:rsidR="005E150C" w:rsidRDefault="005E150C" w:rsidP="005E150C">
      <w:pPr>
        <w:autoSpaceDE w:val="0"/>
        <w:autoSpaceDN w:val="0"/>
        <w:adjustRightInd w:val="0"/>
        <w:rPr>
          <w:rFonts w:ascii="ArialMT" w:hAnsi="ArialMT" w:cs="ArialMT"/>
          <w:b/>
        </w:rPr>
      </w:pPr>
      <w:r>
        <w:rPr>
          <w:rFonts w:ascii="ArialMT" w:hAnsi="ArialMT" w:cs="ArialMT"/>
          <w:b/>
        </w:rPr>
        <w:t>ORDER INFORMATION</w:t>
      </w:r>
    </w:p>
    <w:p w:rsidR="005E150C" w:rsidRDefault="005E150C" w:rsidP="005E150C">
      <w:pPr>
        <w:autoSpaceDE w:val="0"/>
        <w:autoSpaceDN w:val="0"/>
        <w:adjustRightInd w:val="0"/>
        <w:rPr>
          <w:rFonts w:ascii="ArialMT" w:hAnsi="ArialMT" w:cs="ArialMT"/>
        </w:rPr>
      </w:pPr>
    </w:p>
    <w:p w:rsidR="005E150C" w:rsidRDefault="005E150C" w:rsidP="005E150C">
      <w:pPr>
        <w:autoSpaceDE w:val="0"/>
        <w:autoSpaceDN w:val="0"/>
        <w:adjustRightInd w:val="0"/>
        <w:ind w:left="2160" w:hanging="2160"/>
        <w:rPr>
          <w:rFonts w:ascii="ArialMT" w:hAnsi="ArialMT" w:cs="ArialMT"/>
        </w:rPr>
      </w:pPr>
      <w:r>
        <w:rPr>
          <w:rFonts w:ascii="ArialMT" w:hAnsi="ArialMT" w:cs="ArialMT"/>
          <w:b/>
        </w:rPr>
        <w:t xml:space="preserve">Name of </w:t>
      </w:r>
      <w:r w:rsidR="007C0165">
        <w:rPr>
          <w:rFonts w:ascii="ArialMT" w:hAnsi="ArialMT" w:cs="ArialMT"/>
          <w:b/>
        </w:rPr>
        <w:t>Product</w:t>
      </w:r>
      <w:r>
        <w:rPr>
          <w:rFonts w:ascii="ArialMT" w:hAnsi="ArialMT" w:cs="ArialMT"/>
          <w:b/>
        </w:rPr>
        <w:t>s:</w:t>
      </w:r>
      <w:r>
        <w:rPr>
          <w:rFonts w:ascii="ArialMT" w:hAnsi="ArialMT" w:cs="ArialMT"/>
        </w:rPr>
        <w:tab/>
      </w:r>
      <w:r w:rsidR="00305700">
        <w:rPr>
          <w:rFonts w:ascii="ArialMT" w:hAnsi="ArialMT" w:cs="ArialMT"/>
        </w:rPr>
        <w:t xml:space="preserve">Polymer Plus </w:t>
      </w:r>
      <w:r w:rsidR="00FD66A7">
        <w:rPr>
          <w:rFonts w:ascii="ArialMT" w:hAnsi="ArialMT" w:cs="ArialMT"/>
        </w:rPr>
        <w:t>Anti Mouse/</w:t>
      </w:r>
      <w:r w:rsidR="00305700">
        <w:rPr>
          <w:rFonts w:ascii="ArialMT" w:hAnsi="ArialMT" w:cs="ArialMT"/>
        </w:rPr>
        <w:t xml:space="preserve">Rabbit HRP-DAB </w:t>
      </w:r>
      <w:r w:rsidR="007C0165" w:rsidRPr="007C0165">
        <w:rPr>
          <w:rFonts w:ascii="ArialMT" w:hAnsi="ArialMT" w:cs="ArialMT"/>
        </w:rPr>
        <w:t xml:space="preserve">Dual Kit </w:t>
      </w:r>
    </w:p>
    <w:p w:rsidR="005E150C" w:rsidRDefault="005E150C" w:rsidP="005E150C">
      <w:pPr>
        <w:autoSpaceDE w:val="0"/>
        <w:autoSpaceDN w:val="0"/>
        <w:adjustRightInd w:val="0"/>
        <w:rPr>
          <w:rFonts w:ascii="ArialMT" w:hAnsi="ArialMT" w:cs="ArialMT"/>
          <w:b/>
        </w:rPr>
      </w:pPr>
      <w:r>
        <w:rPr>
          <w:rFonts w:ascii="ArialMT" w:hAnsi="ArialMT" w:cs="ArialMT"/>
          <w:b/>
        </w:rPr>
        <w:t>Catalogue Number:</w:t>
      </w:r>
      <w:r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ab/>
      </w:r>
      <w:r w:rsidR="007C0165">
        <w:rPr>
          <w:rFonts w:ascii="ArialMT" w:hAnsi="ArialMT" w:cs="ArialMT"/>
          <w:b/>
        </w:rPr>
        <w:t>nA</w:t>
      </w:r>
      <w:r>
        <w:rPr>
          <w:rFonts w:ascii="ArialMT" w:hAnsi="ArialMT" w:cs="ArialMT"/>
          <w:b/>
        </w:rPr>
        <w:t>P-</w:t>
      </w:r>
      <w:r w:rsidR="007C0165">
        <w:rPr>
          <w:rFonts w:ascii="ArialMT" w:hAnsi="ArialMT" w:cs="ArialMT"/>
          <w:b/>
        </w:rPr>
        <w:t>1</w:t>
      </w:r>
      <w:r>
        <w:rPr>
          <w:rFonts w:ascii="ArialMT" w:hAnsi="ArialMT" w:cs="ArialMT"/>
          <w:b/>
        </w:rPr>
        <w:t>0</w:t>
      </w:r>
      <w:r w:rsidR="00FD66A7">
        <w:rPr>
          <w:rFonts w:ascii="ArialMT" w:hAnsi="ArialMT" w:cs="ArialMT"/>
          <w:b/>
        </w:rPr>
        <w:t>21</w:t>
      </w:r>
      <w:r w:rsidR="000932DC">
        <w:rPr>
          <w:rFonts w:ascii="ArialMT" w:hAnsi="ArialMT" w:cs="ArialMT"/>
          <w:b/>
        </w:rPr>
        <w:t>0</w:t>
      </w:r>
      <w:r w:rsidR="00D266DB">
        <w:rPr>
          <w:rFonts w:ascii="ArialMT" w:hAnsi="ArialMT" w:cs="ArialMT"/>
          <w:b/>
        </w:rPr>
        <w:t>-1</w:t>
      </w:r>
    </w:p>
    <w:p w:rsidR="005E150C" w:rsidRDefault="00D44CCC" w:rsidP="005E150C">
      <w:pPr>
        <w:autoSpaceDE w:val="0"/>
        <w:autoSpaceDN w:val="0"/>
        <w:adjustRightInd w:val="0"/>
        <w:jc w:val="both"/>
        <w:rPr>
          <w:rFonts w:ascii="ArialMT" w:hAnsi="ArialMT" w:cs="ArialMT"/>
          <w:b/>
        </w:rPr>
      </w:pPr>
      <w:r>
        <w:rPr>
          <w:rFonts w:ascii="ArialMT" w:hAnsi="ArialMT" w:cs="ArialMT"/>
          <w:b/>
        </w:rPr>
        <w:t>Size:</w:t>
      </w:r>
      <w:r>
        <w:rPr>
          <w:rFonts w:ascii="ArialMT" w:hAnsi="ArialMT" w:cs="ArialMT"/>
          <w:b/>
        </w:rPr>
        <w:tab/>
      </w:r>
      <w:r>
        <w:rPr>
          <w:rFonts w:ascii="ArialMT" w:hAnsi="ArialMT" w:cs="ArialMT"/>
          <w:b/>
        </w:rPr>
        <w:tab/>
      </w:r>
      <w:r>
        <w:rPr>
          <w:rFonts w:ascii="ArialMT" w:hAnsi="ArialMT" w:cs="ArialMT"/>
          <w:b/>
        </w:rPr>
        <w:tab/>
        <w:t>1</w:t>
      </w:r>
      <w:r w:rsidR="00C566D5">
        <w:rPr>
          <w:rFonts w:ascii="ArialMT" w:hAnsi="ArialMT" w:cs="ArialMT"/>
          <w:b/>
        </w:rPr>
        <w:t>1</w:t>
      </w:r>
      <w:r>
        <w:rPr>
          <w:rFonts w:ascii="ArialMT" w:hAnsi="ArialMT" w:cs="ArialMT"/>
          <w:b/>
        </w:rPr>
        <w:t xml:space="preserve"> ml kit (w DAB chromogen and buffer) for 100 slides</w:t>
      </w:r>
    </w:p>
    <w:p w:rsidR="00305700" w:rsidRDefault="00305700" w:rsidP="005E150C">
      <w:pPr>
        <w:autoSpaceDE w:val="0"/>
        <w:autoSpaceDN w:val="0"/>
        <w:adjustRightInd w:val="0"/>
        <w:jc w:val="both"/>
        <w:rPr>
          <w:rFonts w:ascii="ArialMT" w:hAnsi="ArialMT" w:cs="ArialMT"/>
          <w:b/>
        </w:rPr>
      </w:pPr>
      <w:r>
        <w:rPr>
          <w:rFonts w:ascii="ArialMT" w:hAnsi="ArialMT" w:cs="ArialMT"/>
          <w:b/>
        </w:rPr>
        <w:t>Storage:</w:t>
      </w:r>
      <w:r>
        <w:rPr>
          <w:rFonts w:ascii="ArialMT" w:hAnsi="ArialMT" w:cs="ArialMT"/>
          <w:b/>
        </w:rPr>
        <w:tab/>
      </w:r>
      <w:r>
        <w:rPr>
          <w:rFonts w:ascii="ArialMT" w:hAnsi="ArialMT" w:cs="ArialMT"/>
          <w:b/>
        </w:rPr>
        <w:tab/>
        <w:t>4-8</w:t>
      </w:r>
      <w:r>
        <w:rPr>
          <w:b/>
        </w:rPr>
        <w:t>°</w:t>
      </w:r>
      <w:r>
        <w:rPr>
          <w:rFonts w:ascii="ArialMT" w:hAnsi="ArialMT" w:cs="ArialMT"/>
          <w:b/>
        </w:rPr>
        <w:t>C</w:t>
      </w:r>
    </w:p>
    <w:p w:rsidR="004B050A" w:rsidRDefault="004B050A" w:rsidP="00FD66A7">
      <w:pPr>
        <w:autoSpaceDE w:val="0"/>
        <w:autoSpaceDN w:val="0"/>
        <w:adjustRightInd w:val="0"/>
        <w:jc w:val="both"/>
        <w:rPr>
          <w:rFonts w:eastAsia="Times New Roman"/>
          <w:b/>
          <w:bCs/>
          <w:color w:val="000000"/>
          <w:sz w:val="20"/>
          <w:szCs w:val="20"/>
        </w:rPr>
      </w:pPr>
    </w:p>
    <w:p w:rsidR="00FD66A7" w:rsidRDefault="00FD66A7" w:rsidP="00FD66A7">
      <w:pPr>
        <w:autoSpaceDE w:val="0"/>
        <w:autoSpaceDN w:val="0"/>
        <w:adjustRightInd w:val="0"/>
        <w:jc w:val="both"/>
        <w:rPr>
          <w:rFonts w:eastAsia="Times New Roman"/>
          <w:b/>
          <w:bCs/>
          <w:color w:val="000000"/>
          <w:sz w:val="20"/>
          <w:szCs w:val="20"/>
        </w:rPr>
      </w:pPr>
      <w:r w:rsidRPr="00FD66A7">
        <w:rPr>
          <w:rFonts w:eastAsia="Times New Roman"/>
          <w:b/>
          <w:bCs/>
          <w:color w:val="000000"/>
          <w:sz w:val="20"/>
          <w:szCs w:val="20"/>
        </w:rPr>
        <w:t>Intended Use:</w:t>
      </w:r>
    </w:p>
    <w:p w:rsidR="00FD66A7" w:rsidRPr="00FD66A7" w:rsidRDefault="00FD66A7" w:rsidP="00FD66A7">
      <w:pPr>
        <w:autoSpaceDE w:val="0"/>
        <w:autoSpaceDN w:val="0"/>
        <w:adjustRightInd w:val="0"/>
        <w:jc w:val="both"/>
        <w:rPr>
          <w:rFonts w:eastAsia="Times New Roman"/>
          <w:b/>
          <w:bCs/>
          <w:color w:val="000000"/>
          <w:sz w:val="20"/>
          <w:szCs w:val="20"/>
        </w:rPr>
      </w:pPr>
    </w:p>
    <w:p w:rsidR="007C0165" w:rsidRDefault="00D266DB" w:rsidP="004B050A">
      <w:pPr>
        <w:autoSpaceDE w:val="0"/>
        <w:autoSpaceDN w:val="0"/>
        <w:adjustRightInd w:val="0"/>
        <w:jc w:val="both"/>
        <w:rPr>
          <w:rFonts w:eastAsia="Times New Roman"/>
          <w:bCs/>
          <w:color w:val="000000"/>
          <w:sz w:val="20"/>
          <w:szCs w:val="20"/>
        </w:rPr>
      </w:pPr>
      <w:r>
        <w:rPr>
          <w:rFonts w:eastAsia="Times New Roman"/>
          <w:bCs/>
          <w:color w:val="000000"/>
          <w:sz w:val="20"/>
          <w:szCs w:val="20"/>
        </w:rPr>
        <w:t xml:space="preserve">Polymer </w:t>
      </w:r>
      <w:r w:rsidR="004B050A" w:rsidRPr="004B050A">
        <w:rPr>
          <w:rFonts w:eastAsia="Times New Roman"/>
          <w:bCs/>
          <w:color w:val="000000"/>
          <w:sz w:val="20"/>
          <w:szCs w:val="20"/>
        </w:rPr>
        <w:t>Anti-Mouse/Rabbit HRP-DAB Dual Kit</w:t>
      </w:r>
      <w:r w:rsidR="00FD66A7" w:rsidRPr="00FD66A7">
        <w:rPr>
          <w:rFonts w:eastAsia="Times New Roman"/>
          <w:bCs/>
          <w:color w:val="000000"/>
          <w:sz w:val="20"/>
          <w:szCs w:val="20"/>
        </w:rPr>
        <w:t xml:space="preserve"> is a HRP polymer based detection system that can be used to detect mouse or rabbit primary antibodies for </w:t>
      </w:r>
      <w:proofErr w:type="spellStart"/>
      <w:r w:rsidR="00FD66A7" w:rsidRPr="00FD66A7">
        <w:rPr>
          <w:rFonts w:eastAsia="Times New Roman"/>
          <w:bCs/>
          <w:color w:val="000000"/>
          <w:sz w:val="20"/>
          <w:szCs w:val="20"/>
        </w:rPr>
        <w:t>immunohistochemical</w:t>
      </w:r>
      <w:proofErr w:type="spellEnd"/>
      <w:r w:rsidR="00FD66A7" w:rsidRPr="00FD66A7">
        <w:rPr>
          <w:rFonts w:eastAsia="Times New Roman"/>
          <w:bCs/>
          <w:color w:val="000000"/>
          <w:sz w:val="20"/>
          <w:szCs w:val="20"/>
        </w:rPr>
        <w:t xml:space="preserve"> s</w:t>
      </w:r>
      <w:r w:rsidR="004B050A">
        <w:rPr>
          <w:rFonts w:eastAsia="Times New Roman"/>
          <w:bCs/>
          <w:color w:val="000000"/>
          <w:sz w:val="20"/>
          <w:szCs w:val="20"/>
        </w:rPr>
        <w:t xml:space="preserve">taining </w:t>
      </w:r>
      <w:r w:rsidR="00FD66A7" w:rsidRPr="00FD66A7">
        <w:rPr>
          <w:rFonts w:eastAsia="Times New Roman"/>
          <w:bCs/>
          <w:color w:val="000000"/>
          <w:sz w:val="20"/>
          <w:szCs w:val="20"/>
        </w:rPr>
        <w:t>of human tissues. Pol</w:t>
      </w:r>
      <w:r>
        <w:rPr>
          <w:rFonts w:eastAsia="Times New Roman"/>
          <w:bCs/>
          <w:color w:val="000000"/>
          <w:sz w:val="20"/>
          <w:szCs w:val="20"/>
        </w:rPr>
        <w:t xml:space="preserve">ymer </w:t>
      </w:r>
      <w:r w:rsidR="00FD66A7" w:rsidRPr="00FD66A7">
        <w:rPr>
          <w:rFonts w:eastAsia="Times New Roman"/>
          <w:bCs/>
          <w:color w:val="000000"/>
          <w:sz w:val="20"/>
          <w:szCs w:val="20"/>
        </w:rPr>
        <w:t xml:space="preserve">kits are </w:t>
      </w:r>
      <w:r>
        <w:rPr>
          <w:rFonts w:eastAsia="Times New Roman"/>
          <w:bCs/>
          <w:color w:val="000000"/>
          <w:sz w:val="20"/>
          <w:szCs w:val="20"/>
        </w:rPr>
        <w:t xml:space="preserve">the first </w:t>
      </w:r>
      <w:r w:rsidR="00FD66A7" w:rsidRPr="00FD66A7">
        <w:rPr>
          <w:rFonts w:eastAsia="Times New Roman"/>
          <w:bCs/>
          <w:color w:val="000000"/>
          <w:sz w:val="20"/>
          <w:szCs w:val="20"/>
        </w:rPr>
        <w:t xml:space="preserve">generation polymer detection system that uses polymeric HRP-linked </w:t>
      </w:r>
      <w:r>
        <w:rPr>
          <w:rFonts w:eastAsia="Times New Roman"/>
          <w:bCs/>
          <w:color w:val="000000"/>
          <w:sz w:val="20"/>
          <w:szCs w:val="20"/>
        </w:rPr>
        <w:t xml:space="preserve">secondary </w:t>
      </w:r>
      <w:r w:rsidR="00FD66A7" w:rsidRPr="00FD66A7">
        <w:rPr>
          <w:rFonts w:eastAsia="Times New Roman"/>
          <w:bCs/>
          <w:color w:val="000000"/>
          <w:sz w:val="20"/>
          <w:szCs w:val="20"/>
        </w:rPr>
        <w:t>antibody conjugates to get consistent immunostaining outcomes on archival tissues and to increase sensitivity on difficult-to-work antibodies. This technology provides excellent sensitivity and high specificity. It is a biotin-free system, therefore, overcomes the non-specific staining caused by streptavidin/biotin system due to endogenous biotin. This kit has been tested on paraffin embedded tissue only; however it may be used on frozen or freshly prepared monolayer cell smears.</w:t>
      </w:r>
    </w:p>
    <w:p w:rsidR="00FD66A7" w:rsidRPr="00FD66A7" w:rsidRDefault="00FD66A7" w:rsidP="00FD66A7">
      <w:pPr>
        <w:autoSpaceDE w:val="0"/>
        <w:autoSpaceDN w:val="0"/>
        <w:adjustRightInd w:val="0"/>
        <w:jc w:val="both"/>
        <w:rPr>
          <w:rFonts w:eastAsia="Times New Roman"/>
          <w:bCs/>
          <w:color w:val="000000"/>
          <w:sz w:val="20"/>
          <w:szCs w:val="20"/>
        </w:rPr>
      </w:pPr>
    </w:p>
    <w:p w:rsidR="007C0165" w:rsidRPr="00FD66A7" w:rsidRDefault="007C0165" w:rsidP="007C016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FD66A7">
        <w:rPr>
          <w:rFonts w:eastAsia="Times New Roman"/>
          <w:b/>
          <w:bCs/>
          <w:color w:val="000000"/>
          <w:sz w:val="20"/>
          <w:szCs w:val="20"/>
        </w:rPr>
        <w:t>Kit components:</w:t>
      </w:r>
    </w:p>
    <w:p w:rsidR="005E150C" w:rsidRPr="00FD66A7" w:rsidRDefault="005E150C" w:rsidP="005E150C">
      <w:pPr>
        <w:autoSpaceDE w:val="0"/>
        <w:autoSpaceDN w:val="0"/>
        <w:adjustRightInd w:val="0"/>
        <w:jc w:val="both"/>
        <w:rPr>
          <w:rFonts w:ascii="ArialMT" w:hAnsi="ArialMT" w:cs="ArialMT"/>
          <w:b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91"/>
        <w:gridCol w:w="4860"/>
        <w:gridCol w:w="1611"/>
      </w:tblGrid>
      <w:tr w:rsidR="007C0165" w:rsidRPr="00FD66A7" w:rsidTr="002F1FF7">
        <w:trPr>
          <w:jc w:val="center"/>
        </w:trPr>
        <w:tc>
          <w:tcPr>
            <w:tcW w:w="1791" w:type="dxa"/>
          </w:tcPr>
          <w:p w:rsidR="007C0165" w:rsidRPr="00FD66A7" w:rsidRDefault="009F04DB" w:rsidP="006602A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sz w:val="20"/>
                <w:szCs w:val="20"/>
              </w:rPr>
            </w:pPr>
            <w:r w:rsidRPr="00FD66A7">
              <w:rPr>
                <w:rFonts w:ascii="ArialMT" w:hAnsi="ArialMT" w:cs="ArialMT"/>
                <w:b/>
                <w:sz w:val="20"/>
                <w:szCs w:val="20"/>
              </w:rPr>
              <w:t>Components</w:t>
            </w:r>
          </w:p>
        </w:tc>
        <w:tc>
          <w:tcPr>
            <w:tcW w:w="4860" w:type="dxa"/>
          </w:tcPr>
          <w:p w:rsidR="007C0165" w:rsidRPr="00FD66A7" w:rsidRDefault="006602AC" w:rsidP="006602A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sz w:val="20"/>
                <w:szCs w:val="20"/>
              </w:rPr>
            </w:pPr>
            <w:r w:rsidRPr="00FD66A7">
              <w:rPr>
                <w:rFonts w:ascii="ArialMT" w:hAnsi="ArialMT" w:cs="ArialMT"/>
                <w:b/>
                <w:sz w:val="20"/>
                <w:szCs w:val="20"/>
              </w:rPr>
              <w:t>Name</w:t>
            </w:r>
          </w:p>
        </w:tc>
        <w:tc>
          <w:tcPr>
            <w:tcW w:w="1611" w:type="dxa"/>
          </w:tcPr>
          <w:p w:rsidR="007C0165" w:rsidRPr="00FD66A7" w:rsidRDefault="006602AC" w:rsidP="006602A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sz w:val="20"/>
                <w:szCs w:val="20"/>
              </w:rPr>
            </w:pPr>
            <w:r w:rsidRPr="00FD66A7">
              <w:rPr>
                <w:rFonts w:ascii="ArialMT" w:hAnsi="ArialMT" w:cs="ArialMT"/>
                <w:b/>
                <w:sz w:val="20"/>
                <w:szCs w:val="20"/>
              </w:rPr>
              <w:t>Volume</w:t>
            </w:r>
          </w:p>
        </w:tc>
      </w:tr>
      <w:tr w:rsidR="006602AC" w:rsidRPr="00FD66A7" w:rsidTr="002F1FF7">
        <w:trPr>
          <w:jc w:val="center"/>
        </w:trPr>
        <w:tc>
          <w:tcPr>
            <w:tcW w:w="1791" w:type="dxa"/>
          </w:tcPr>
          <w:p w:rsidR="006602AC" w:rsidRPr="00FD66A7" w:rsidRDefault="00D266DB" w:rsidP="00660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Reagent 1</w:t>
            </w:r>
          </w:p>
        </w:tc>
        <w:tc>
          <w:tcPr>
            <w:tcW w:w="48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21"/>
            </w:tblGrid>
            <w:tr w:rsidR="006602AC" w:rsidRPr="00FD66A7">
              <w:trPr>
                <w:trHeight w:val="84"/>
              </w:trPr>
              <w:tc>
                <w:tcPr>
                  <w:tcW w:w="0" w:type="auto"/>
                </w:tcPr>
                <w:p w:rsidR="006602AC" w:rsidRPr="00FD66A7" w:rsidRDefault="006602AC" w:rsidP="006602AC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FD66A7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Polymer HRP anti-Mouse/Rabbit IgG </w:t>
                  </w:r>
                  <w:r w:rsidR="002F1FF7" w:rsidRPr="00FD66A7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(Ready To Use)</w:t>
                  </w:r>
                </w:p>
              </w:tc>
            </w:tr>
          </w:tbl>
          <w:p w:rsidR="006602AC" w:rsidRPr="00FD66A7" w:rsidRDefault="006602AC" w:rsidP="00660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6602AC" w:rsidRPr="00FD66A7" w:rsidRDefault="002F1FF7" w:rsidP="00C566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66A7">
              <w:rPr>
                <w:b/>
                <w:sz w:val="20"/>
                <w:szCs w:val="20"/>
              </w:rPr>
              <w:t>1</w:t>
            </w:r>
            <w:r w:rsidR="00C566D5">
              <w:rPr>
                <w:b/>
                <w:sz w:val="20"/>
                <w:szCs w:val="20"/>
              </w:rPr>
              <w:t>1</w:t>
            </w:r>
            <w:r w:rsidRPr="00FD66A7">
              <w:rPr>
                <w:b/>
                <w:sz w:val="20"/>
                <w:szCs w:val="20"/>
              </w:rPr>
              <w:t>ml</w:t>
            </w:r>
          </w:p>
        </w:tc>
      </w:tr>
      <w:tr w:rsidR="006602AC" w:rsidRPr="00FD66A7" w:rsidTr="002F1FF7">
        <w:trPr>
          <w:jc w:val="center"/>
        </w:trPr>
        <w:tc>
          <w:tcPr>
            <w:tcW w:w="1791" w:type="dxa"/>
          </w:tcPr>
          <w:p w:rsidR="006602AC" w:rsidRPr="00FD66A7" w:rsidRDefault="00D266DB" w:rsidP="00660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Reagent 2</w:t>
            </w:r>
            <w:r w:rsidR="006602AC" w:rsidRPr="00FD66A7">
              <w:rPr>
                <w:sz w:val="20"/>
                <w:szCs w:val="20"/>
              </w:rPr>
              <w:t>A</w:t>
            </w:r>
          </w:p>
        </w:tc>
        <w:tc>
          <w:tcPr>
            <w:tcW w:w="4860" w:type="dxa"/>
          </w:tcPr>
          <w:p w:rsidR="006602AC" w:rsidRPr="00FD66A7" w:rsidRDefault="006602AC" w:rsidP="002F1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66A7">
              <w:rPr>
                <w:sz w:val="20"/>
                <w:szCs w:val="20"/>
              </w:rPr>
              <w:t xml:space="preserve">DAB Substrate </w:t>
            </w:r>
            <w:r w:rsidR="002F1FF7" w:rsidRPr="00FD66A7">
              <w:rPr>
                <w:sz w:val="20"/>
                <w:szCs w:val="20"/>
              </w:rPr>
              <w:t>(Ready To Use)</w:t>
            </w:r>
          </w:p>
        </w:tc>
        <w:tc>
          <w:tcPr>
            <w:tcW w:w="1611" w:type="dxa"/>
          </w:tcPr>
          <w:p w:rsidR="006602AC" w:rsidRPr="00FD66A7" w:rsidRDefault="00A70233" w:rsidP="00A702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FD66A7" w:rsidRPr="00FD66A7">
              <w:rPr>
                <w:b/>
                <w:sz w:val="20"/>
                <w:szCs w:val="20"/>
              </w:rPr>
              <w:t xml:space="preserve">0ml </w:t>
            </w:r>
          </w:p>
        </w:tc>
      </w:tr>
      <w:tr w:rsidR="006602AC" w:rsidRPr="00FD66A7" w:rsidTr="002F1FF7">
        <w:trPr>
          <w:jc w:val="center"/>
        </w:trPr>
        <w:tc>
          <w:tcPr>
            <w:tcW w:w="1791" w:type="dxa"/>
          </w:tcPr>
          <w:p w:rsidR="006602AC" w:rsidRPr="00FD66A7" w:rsidRDefault="00D266DB" w:rsidP="00660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Reagent 2</w:t>
            </w:r>
            <w:r w:rsidR="006602AC" w:rsidRPr="00FD66A7">
              <w:rPr>
                <w:sz w:val="20"/>
                <w:szCs w:val="20"/>
              </w:rPr>
              <w:t>B</w:t>
            </w:r>
          </w:p>
        </w:tc>
        <w:tc>
          <w:tcPr>
            <w:tcW w:w="4860" w:type="dxa"/>
          </w:tcPr>
          <w:p w:rsidR="006602AC" w:rsidRPr="00FD66A7" w:rsidRDefault="002F1FF7" w:rsidP="00660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66A7">
              <w:rPr>
                <w:sz w:val="20"/>
                <w:szCs w:val="20"/>
              </w:rPr>
              <w:t>DAB Chromogen (20x)</w:t>
            </w:r>
          </w:p>
        </w:tc>
        <w:tc>
          <w:tcPr>
            <w:tcW w:w="1611" w:type="dxa"/>
          </w:tcPr>
          <w:p w:rsidR="006602AC" w:rsidRPr="00FD66A7" w:rsidRDefault="003836E7" w:rsidP="00FD66A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D66A7" w:rsidRPr="00FD66A7">
              <w:rPr>
                <w:b/>
                <w:sz w:val="20"/>
                <w:szCs w:val="20"/>
              </w:rPr>
              <w:t>ml</w:t>
            </w:r>
          </w:p>
        </w:tc>
      </w:tr>
    </w:tbl>
    <w:p w:rsidR="007C0165" w:rsidRDefault="007C0165" w:rsidP="005E150C">
      <w:pPr>
        <w:autoSpaceDE w:val="0"/>
        <w:autoSpaceDN w:val="0"/>
        <w:adjustRightInd w:val="0"/>
        <w:jc w:val="both"/>
        <w:rPr>
          <w:rFonts w:ascii="ArialMT" w:hAnsi="ArialMT" w:cs="ArialMT"/>
          <w:b/>
        </w:rPr>
      </w:pPr>
    </w:p>
    <w:p w:rsidR="00FD66A7" w:rsidRDefault="00FD66A7" w:rsidP="00FD66A7">
      <w:pPr>
        <w:autoSpaceDE w:val="0"/>
        <w:autoSpaceDN w:val="0"/>
        <w:adjustRightInd w:val="0"/>
        <w:jc w:val="both"/>
        <w:rPr>
          <w:rFonts w:ascii="ArialMT" w:hAnsi="ArialMT" w:cs="ArialMT"/>
          <w:b/>
          <w:sz w:val="20"/>
          <w:szCs w:val="20"/>
        </w:rPr>
      </w:pPr>
      <w:r w:rsidRPr="00FD66A7">
        <w:rPr>
          <w:rFonts w:ascii="ArialMT" w:hAnsi="ArialMT" w:cs="ArialMT"/>
          <w:b/>
          <w:sz w:val="20"/>
          <w:szCs w:val="20"/>
        </w:rPr>
        <w:t>Recommended Protocol:</w:t>
      </w:r>
    </w:p>
    <w:p w:rsidR="00FD66A7" w:rsidRPr="00FD66A7" w:rsidRDefault="00FD66A7" w:rsidP="00FD66A7">
      <w:pPr>
        <w:autoSpaceDE w:val="0"/>
        <w:autoSpaceDN w:val="0"/>
        <w:adjustRightInd w:val="0"/>
        <w:jc w:val="both"/>
        <w:rPr>
          <w:rFonts w:ascii="ArialMT" w:hAnsi="ArialMT" w:cs="ArialMT"/>
          <w:b/>
          <w:sz w:val="20"/>
          <w:szCs w:val="20"/>
        </w:rPr>
      </w:pPr>
    </w:p>
    <w:p w:rsidR="00FD66A7" w:rsidRDefault="00FD66A7" w:rsidP="00FD66A7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 w:rsidRPr="00FD66A7">
        <w:rPr>
          <w:rFonts w:ascii="ArialMT" w:hAnsi="ArialMT" w:cs="ArialMT"/>
          <w:sz w:val="20"/>
          <w:szCs w:val="20"/>
        </w:rPr>
        <w:t>1. Fixation: To ensure the quality of the staining and obtain reproducible performance, user needs to supply appropriately fixed tissue and well prepared slides.</w:t>
      </w:r>
    </w:p>
    <w:p w:rsidR="004B050A" w:rsidRPr="00FD66A7" w:rsidRDefault="004B050A" w:rsidP="00FD66A7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</w:p>
    <w:p w:rsidR="00FD66A7" w:rsidRDefault="00FD66A7" w:rsidP="00FD66A7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 w:rsidRPr="00FD66A7">
        <w:rPr>
          <w:rFonts w:ascii="ArialMT" w:hAnsi="ArialMT" w:cs="ArialMT"/>
          <w:sz w:val="20"/>
          <w:szCs w:val="20"/>
        </w:rPr>
        <w:t>2. Tissue need</w:t>
      </w:r>
      <w:r w:rsidR="0004463F">
        <w:rPr>
          <w:rFonts w:ascii="ArialMT" w:hAnsi="ArialMT" w:cs="ArialMT"/>
          <w:sz w:val="20"/>
          <w:szCs w:val="20"/>
        </w:rPr>
        <w:t>s</w:t>
      </w:r>
      <w:r w:rsidRPr="00FD66A7">
        <w:rPr>
          <w:rFonts w:ascii="ArialMT" w:hAnsi="ArialMT" w:cs="ArialMT"/>
          <w:sz w:val="20"/>
          <w:szCs w:val="20"/>
        </w:rPr>
        <w:t xml:space="preserve"> to be adhered to the slide tightly to avoid tissue falling off.</w:t>
      </w:r>
    </w:p>
    <w:p w:rsidR="004B050A" w:rsidRPr="00FD66A7" w:rsidRDefault="004B050A" w:rsidP="00FD66A7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</w:p>
    <w:p w:rsidR="00FD66A7" w:rsidRDefault="00FD66A7" w:rsidP="00FD66A7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 w:rsidRPr="00FD66A7">
        <w:rPr>
          <w:rFonts w:ascii="ArialMT" w:hAnsi="ArialMT" w:cs="ArialMT"/>
          <w:sz w:val="20"/>
          <w:szCs w:val="20"/>
        </w:rPr>
        <w:t xml:space="preserve">3. Paraffin embedded section must be </w:t>
      </w:r>
      <w:proofErr w:type="spellStart"/>
      <w:r w:rsidRPr="00FD66A7">
        <w:rPr>
          <w:rFonts w:ascii="ArialMT" w:hAnsi="ArialMT" w:cs="ArialMT"/>
          <w:sz w:val="20"/>
          <w:szCs w:val="20"/>
        </w:rPr>
        <w:t>deparaffinized</w:t>
      </w:r>
      <w:proofErr w:type="spellEnd"/>
      <w:r w:rsidRPr="00FD66A7">
        <w:rPr>
          <w:rFonts w:ascii="ArialMT" w:hAnsi="ArialMT" w:cs="ArialMT"/>
          <w:sz w:val="20"/>
          <w:szCs w:val="20"/>
        </w:rPr>
        <w:t xml:space="preserve"> with xylene and rehydrated with a graded series of ethanol before staining.</w:t>
      </w:r>
    </w:p>
    <w:p w:rsidR="004B050A" w:rsidRPr="00FD66A7" w:rsidRDefault="004B050A" w:rsidP="00FD66A7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</w:p>
    <w:p w:rsidR="00FD66A7" w:rsidRDefault="00FD66A7" w:rsidP="00FD66A7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 w:rsidRPr="00FD66A7">
        <w:rPr>
          <w:rFonts w:ascii="ArialMT" w:hAnsi="ArialMT" w:cs="ArialMT"/>
          <w:sz w:val="20"/>
          <w:szCs w:val="20"/>
        </w:rPr>
        <w:t>4. Cell smear samples should be made as much monolayer as possible to obtain satisfactory results.</w:t>
      </w:r>
    </w:p>
    <w:p w:rsidR="004B050A" w:rsidRPr="00FD66A7" w:rsidRDefault="004B050A" w:rsidP="00FD66A7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</w:p>
    <w:p w:rsidR="00FD66A7" w:rsidRDefault="00FD66A7" w:rsidP="00FD66A7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 w:rsidRPr="00FD66A7">
        <w:rPr>
          <w:rFonts w:ascii="ArialMT" w:hAnsi="ArialMT" w:cs="ArialMT"/>
          <w:sz w:val="20"/>
          <w:szCs w:val="20"/>
        </w:rPr>
        <w:t>5. Investigator needs to optimize dilution and incubation times for primary antibodies.</w:t>
      </w:r>
    </w:p>
    <w:p w:rsidR="004B050A" w:rsidRPr="00FD66A7" w:rsidRDefault="004B050A" w:rsidP="00FD66A7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</w:p>
    <w:p w:rsidR="00FD66A7" w:rsidRDefault="00FD66A7" w:rsidP="00FD66A7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 w:rsidRPr="00FD66A7">
        <w:rPr>
          <w:rFonts w:ascii="ArialMT" w:hAnsi="ArialMT" w:cs="ArialMT"/>
          <w:sz w:val="20"/>
          <w:szCs w:val="20"/>
        </w:rPr>
        <w:t>6. Three control slides will aid the interpretation of the result: positive tissue control, reagent control (slides treated with Isotype control reagent), and negative control.</w:t>
      </w:r>
    </w:p>
    <w:p w:rsidR="004B050A" w:rsidRPr="00FD66A7" w:rsidRDefault="004B050A" w:rsidP="00FD66A7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</w:p>
    <w:p w:rsidR="00FD66A7" w:rsidRDefault="00FD66A7" w:rsidP="00FD66A7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 w:rsidRPr="00FD66A7">
        <w:rPr>
          <w:rFonts w:ascii="ArialMT" w:hAnsi="ArialMT" w:cs="ArialMT"/>
          <w:sz w:val="20"/>
          <w:szCs w:val="20"/>
        </w:rPr>
        <w:t>7. Staining steps: DO NOT let specimen or tissue dry from this point on.</w:t>
      </w:r>
    </w:p>
    <w:p w:rsidR="004B050A" w:rsidRPr="00FD66A7" w:rsidRDefault="004B050A" w:rsidP="00FD66A7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</w:p>
    <w:p w:rsidR="00FD66A7" w:rsidRDefault="00FD66A7" w:rsidP="00FD66A7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 w:rsidRPr="00FD66A7">
        <w:rPr>
          <w:rFonts w:ascii="ArialMT" w:hAnsi="ArialMT" w:cs="ArialMT"/>
          <w:sz w:val="20"/>
          <w:szCs w:val="20"/>
        </w:rPr>
        <w:t xml:space="preserve">8. Serum blocking before primary antibody incubation for </w:t>
      </w:r>
      <w:r w:rsidR="0004463F">
        <w:rPr>
          <w:rFonts w:ascii="ArialMT" w:hAnsi="ArialMT" w:cs="ArialMT"/>
          <w:sz w:val="20"/>
          <w:szCs w:val="20"/>
        </w:rPr>
        <w:t>AP</w:t>
      </w:r>
      <w:r w:rsidRPr="00FD66A7">
        <w:rPr>
          <w:rFonts w:ascii="ArialMT" w:hAnsi="ArialMT" w:cs="ArialMT"/>
          <w:sz w:val="20"/>
          <w:szCs w:val="20"/>
        </w:rPr>
        <w:t>’s P</w:t>
      </w:r>
      <w:r w:rsidR="0004463F">
        <w:rPr>
          <w:rFonts w:ascii="ArialMT" w:hAnsi="ArialMT" w:cs="ArialMT"/>
          <w:sz w:val="20"/>
          <w:szCs w:val="20"/>
        </w:rPr>
        <w:t xml:space="preserve">olymer </w:t>
      </w:r>
      <w:r w:rsidRPr="00FD66A7">
        <w:rPr>
          <w:rFonts w:ascii="ArialMT" w:hAnsi="ArialMT" w:cs="ArialMT"/>
          <w:sz w:val="20"/>
          <w:szCs w:val="20"/>
        </w:rPr>
        <w:t>and Pol</w:t>
      </w:r>
      <w:r w:rsidR="0004463F">
        <w:rPr>
          <w:rFonts w:ascii="ArialMT" w:hAnsi="ArialMT" w:cs="ArialMT"/>
          <w:sz w:val="20"/>
          <w:szCs w:val="20"/>
        </w:rPr>
        <w:t xml:space="preserve">ymer </w:t>
      </w:r>
      <w:r w:rsidRPr="00FD66A7">
        <w:rPr>
          <w:rFonts w:ascii="ArialMT" w:hAnsi="ArialMT" w:cs="ArialMT"/>
          <w:sz w:val="20"/>
          <w:szCs w:val="20"/>
        </w:rPr>
        <w:t>Plus is not required because all our antibody conjugates are absorbed to human serum.</w:t>
      </w:r>
    </w:p>
    <w:p w:rsidR="00D44CCC" w:rsidRDefault="00D44CCC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br w:type="page"/>
      </w:r>
    </w:p>
    <w:p w:rsidR="0004463F" w:rsidRDefault="0004463F" w:rsidP="00FD66A7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6840"/>
        <w:gridCol w:w="1278"/>
      </w:tblGrid>
      <w:tr w:rsidR="0004463F" w:rsidRPr="000D1B25" w:rsidTr="004B050A">
        <w:tc>
          <w:tcPr>
            <w:tcW w:w="2898" w:type="dxa"/>
          </w:tcPr>
          <w:p w:rsidR="0004463F" w:rsidRPr="000D1B25" w:rsidRDefault="0004463F" w:rsidP="004B050A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0D1B25">
              <w:rPr>
                <w:b/>
                <w:sz w:val="18"/>
                <w:szCs w:val="18"/>
              </w:rPr>
              <w:t>Reagent</w:t>
            </w:r>
          </w:p>
        </w:tc>
        <w:tc>
          <w:tcPr>
            <w:tcW w:w="6840" w:type="dxa"/>
          </w:tcPr>
          <w:p w:rsidR="0004463F" w:rsidRPr="000D1B25" w:rsidRDefault="0004463F" w:rsidP="004B050A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0D1B25">
              <w:rPr>
                <w:b/>
                <w:bCs/>
                <w:sz w:val="18"/>
                <w:szCs w:val="18"/>
              </w:rPr>
              <w:t>Staining Procedure</w:t>
            </w:r>
          </w:p>
        </w:tc>
        <w:tc>
          <w:tcPr>
            <w:tcW w:w="1278" w:type="dxa"/>
          </w:tcPr>
          <w:p w:rsidR="0004463F" w:rsidRPr="000D1B25" w:rsidRDefault="00D44CCC" w:rsidP="004B050A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Incubation Time</w:t>
            </w:r>
          </w:p>
        </w:tc>
      </w:tr>
      <w:tr w:rsidR="0004463F" w:rsidRPr="000D1B25" w:rsidTr="004B050A">
        <w:tc>
          <w:tcPr>
            <w:tcW w:w="2898" w:type="dxa"/>
          </w:tcPr>
          <w:p w:rsidR="0004463F" w:rsidRPr="00305700" w:rsidRDefault="0004463F" w:rsidP="00034356">
            <w:pPr>
              <w:pStyle w:val="Default"/>
              <w:rPr>
                <w:b/>
                <w:sz w:val="18"/>
                <w:szCs w:val="18"/>
              </w:rPr>
            </w:pPr>
            <w:r w:rsidRPr="00305700">
              <w:rPr>
                <w:b/>
                <w:sz w:val="18"/>
                <w:szCs w:val="18"/>
              </w:rPr>
              <w:t>1. PEROXIDASE BLOCKING REAGENT.</w:t>
            </w:r>
          </w:p>
          <w:p w:rsidR="0004463F" w:rsidRPr="000D1B25" w:rsidRDefault="0004463F" w:rsidP="00034356">
            <w:pPr>
              <w:pStyle w:val="Default"/>
              <w:rPr>
                <w:sz w:val="18"/>
                <w:szCs w:val="18"/>
              </w:rPr>
            </w:pPr>
            <w:r w:rsidRPr="000D1B25">
              <w:rPr>
                <w:sz w:val="18"/>
                <w:szCs w:val="18"/>
              </w:rPr>
              <w:t>Supplied by user</w:t>
            </w:r>
          </w:p>
        </w:tc>
        <w:tc>
          <w:tcPr>
            <w:tcW w:w="6840" w:type="dxa"/>
          </w:tcPr>
          <w:p w:rsidR="00034356" w:rsidRDefault="0004463F" w:rsidP="00622ECD">
            <w:pPr>
              <w:pStyle w:val="Default"/>
              <w:rPr>
                <w:sz w:val="18"/>
                <w:szCs w:val="18"/>
              </w:rPr>
            </w:pPr>
            <w:r w:rsidRPr="000D1B25">
              <w:rPr>
                <w:sz w:val="18"/>
                <w:szCs w:val="18"/>
              </w:rPr>
              <w:t>a. Incubate slides in PEROXIDASE BLOCKING REAGENT (Ready-to-use 3% H2O2 solution) for 10 minutes.</w:t>
            </w:r>
            <w:r w:rsidR="00034356" w:rsidRPr="000D1B25">
              <w:rPr>
                <w:sz w:val="18"/>
                <w:szCs w:val="18"/>
              </w:rPr>
              <w:t xml:space="preserve"> </w:t>
            </w:r>
          </w:p>
          <w:p w:rsidR="0004463F" w:rsidRPr="000D1B25" w:rsidRDefault="00034356" w:rsidP="00622ECD">
            <w:pPr>
              <w:pStyle w:val="Default"/>
              <w:rPr>
                <w:sz w:val="18"/>
                <w:szCs w:val="18"/>
              </w:rPr>
            </w:pPr>
            <w:r w:rsidRPr="000D1B25">
              <w:rPr>
                <w:sz w:val="18"/>
                <w:szCs w:val="18"/>
              </w:rPr>
              <w:t>b. Rinse the slide using distilled water.</w:t>
            </w:r>
          </w:p>
        </w:tc>
        <w:tc>
          <w:tcPr>
            <w:tcW w:w="1278" w:type="dxa"/>
          </w:tcPr>
          <w:p w:rsidR="0004463F" w:rsidRPr="000D1B25" w:rsidRDefault="0004463F" w:rsidP="00622ECD">
            <w:pPr>
              <w:pStyle w:val="Default"/>
              <w:rPr>
                <w:sz w:val="18"/>
                <w:szCs w:val="18"/>
              </w:rPr>
            </w:pPr>
            <w:r w:rsidRPr="000D1B25">
              <w:rPr>
                <w:sz w:val="18"/>
                <w:szCs w:val="18"/>
              </w:rPr>
              <w:t xml:space="preserve"> 10</w:t>
            </w:r>
            <w:r w:rsidR="004B050A">
              <w:rPr>
                <w:sz w:val="18"/>
                <w:szCs w:val="18"/>
              </w:rPr>
              <w:t>min</w:t>
            </w:r>
          </w:p>
        </w:tc>
      </w:tr>
      <w:tr w:rsidR="0004463F" w:rsidRPr="000D1B25" w:rsidTr="004B050A">
        <w:tc>
          <w:tcPr>
            <w:tcW w:w="2898" w:type="dxa"/>
          </w:tcPr>
          <w:p w:rsidR="0004463F" w:rsidRPr="000D1B25" w:rsidRDefault="0004463F" w:rsidP="00034356">
            <w:pPr>
              <w:rPr>
                <w:sz w:val="18"/>
                <w:szCs w:val="18"/>
              </w:rPr>
            </w:pPr>
          </w:p>
        </w:tc>
        <w:tc>
          <w:tcPr>
            <w:tcW w:w="6840" w:type="dxa"/>
          </w:tcPr>
          <w:p w:rsidR="0004463F" w:rsidRPr="000D1B25" w:rsidRDefault="0004463F" w:rsidP="00622ECD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</w:tcPr>
          <w:p w:rsidR="0004463F" w:rsidRPr="000D1B25" w:rsidRDefault="0004463F" w:rsidP="00622ECD">
            <w:pPr>
              <w:rPr>
                <w:sz w:val="18"/>
                <w:szCs w:val="18"/>
              </w:rPr>
            </w:pPr>
          </w:p>
        </w:tc>
      </w:tr>
      <w:tr w:rsidR="0004463F" w:rsidRPr="000D1B25" w:rsidTr="004B050A">
        <w:tc>
          <w:tcPr>
            <w:tcW w:w="2898" w:type="dxa"/>
          </w:tcPr>
          <w:p w:rsidR="0004463F" w:rsidRPr="004B050A" w:rsidRDefault="0004463F" w:rsidP="00034356">
            <w:pPr>
              <w:pStyle w:val="Default"/>
              <w:rPr>
                <w:b/>
                <w:sz w:val="18"/>
                <w:szCs w:val="18"/>
              </w:rPr>
            </w:pPr>
            <w:r w:rsidRPr="004B050A">
              <w:rPr>
                <w:b/>
                <w:sz w:val="18"/>
                <w:szCs w:val="18"/>
              </w:rPr>
              <w:t>2. HIER PRETREATMENT:</w:t>
            </w:r>
          </w:p>
        </w:tc>
        <w:tc>
          <w:tcPr>
            <w:tcW w:w="6840" w:type="dxa"/>
          </w:tcPr>
          <w:p w:rsidR="0004463F" w:rsidRDefault="0004463F" w:rsidP="00706E58">
            <w:pPr>
              <w:pStyle w:val="Default"/>
              <w:rPr>
                <w:sz w:val="18"/>
                <w:szCs w:val="18"/>
              </w:rPr>
            </w:pPr>
            <w:r w:rsidRPr="000D1B25">
              <w:rPr>
                <w:sz w:val="18"/>
                <w:szCs w:val="18"/>
              </w:rPr>
              <w:t>a. Heat Induced Epitope Retrieval (HIER) may be required for primary antibody suggested by vendor. Please check the data sheet of primary antibody</w:t>
            </w:r>
            <w:r w:rsidR="00034356">
              <w:rPr>
                <w:sz w:val="18"/>
                <w:szCs w:val="18"/>
              </w:rPr>
              <w:t>.</w:t>
            </w:r>
          </w:p>
          <w:p w:rsidR="00034356" w:rsidRPr="000D1B25" w:rsidRDefault="00034356" w:rsidP="00706E58">
            <w:pPr>
              <w:pStyle w:val="Default"/>
              <w:rPr>
                <w:sz w:val="18"/>
                <w:szCs w:val="18"/>
              </w:rPr>
            </w:pPr>
            <w:r w:rsidRPr="000D1B25">
              <w:rPr>
                <w:sz w:val="18"/>
                <w:szCs w:val="18"/>
              </w:rPr>
              <w:t>b. Wash with PBS-T (PBS containing 0.05% Tween-20) 3 times for 2 minutes each time.</w:t>
            </w:r>
          </w:p>
        </w:tc>
        <w:tc>
          <w:tcPr>
            <w:tcW w:w="1278" w:type="dxa"/>
          </w:tcPr>
          <w:p w:rsidR="0004463F" w:rsidRPr="000D1B25" w:rsidRDefault="0004463F" w:rsidP="00622ECD">
            <w:pPr>
              <w:pStyle w:val="Default"/>
              <w:rPr>
                <w:sz w:val="18"/>
                <w:szCs w:val="18"/>
              </w:rPr>
            </w:pPr>
          </w:p>
        </w:tc>
      </w:tr>
      <w:tr w:rsidR="0004463F" w:rsidRPr="000D1B25" w:rsidTr="004B050A">
        <w:tc>
          <w:tcPr>
            <w:tcW w:w="2898" w:type="dxa"/>
          </w:tcPr>
          <w:p w:rsidR="0004463F" w:rsidRPr="000D1B25" w:rsidRDefault="0004463F" w:rsidP="00034356">
            <w:pPr>
              <w:pStyle w:val="Default"/>
              <w:rPr>
                <w:sz w:val="18"/>
                <w:szCs w:val="18"/>
              </w:rPr>
            </w:pPr>
            <w:r w:rsidRPr="000D1B25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40" w:type="dxa"/>
          </w:tcPr>
          <w:p w:rsidR="0004463F" w:rsidRPr="000D1B25" w:rsidRDefault="0004463F" w:rsidP="00034356">
            <w:pPr>
              <w:pStyle w:val="Header"/>
              <w:rPr>
                <w:sz w:val="18"/>
                <w:szCs w:val="18"/>
              </w:rPr>
            </w:pPr>
            <w:r w:rsidRPr="000D1B2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8" w:type="dxa"/>
          </w:tcPr>
          <w:p w:rsidR="0004463F" w:rsidRPr="000D1B25" w:rsidRDefault="0004463F" w:rsidP="00622ECD">
            <w:pPr>
              <w:pStyle w:val="Default"/>
              <w:rPr>
                <w:sz w:val="18"/>
                <w:szCs w:val="18"/>
              </w:rPr>
            </w:pPr>
            <w:r w:rsidRPr="000D1B25">
              <w:rPr>
                <w:sz w:val="18"/>
                <w:szCs w:val="18"/>
              </w:rPr>
              <w:t xml:space="preserve"> </w:t>
            </w:r>
          </w:p>
        </w:tc>
      </w:tr>
      <w:tr w:rsidR="0004463F" w:rsidRPr="000D1B25" w:rsidTr="004B050A">
        <w:tc>
          <w:tcPr>
            <w:tcW w:w="2898" w:type="dxa"/>
          </w:tcPr>
          <w:p w:rsidR="000D1B25" w:rsidRPr="004B050A" w:rsidRDefault="000D1B25" w:rsidP="00034356">
            <w:pPr>
              <w:rPr>
                <w:b/>
                <w:sz w:val="18"/>
                <w:szCs w:val="18"/>
              </w:rPr>
            </w:pPr>
            <w:r w:rsidRPr="004B050A">
              <w:rPr>
                <w:b/>
                <w:sz w:val="18"/>
                <w:szCs w:val="18"/>
              </w:rPr>
              <w:t>3. PRE-BLOCK (Optional)</w:t>
            </w:r>
          </w:p>
          <w:p w:rsidR="0004463F" w:rsidRPr="000D1B25" w:rsidRDefault="000D1B25" w:rsidP="00034356">
            <w:pPr>
              <w:rPr>
                <w:sz w:val="18"/>
                <w:szCs w:val="18"/>
              </w:rPr>
            </w:pPr>
            <w:r w:rsidRPr="000D1B25">
              <w:rPr>
                <w:sz w:val="18"/>
                <w:szCs w:val="18"/>
              </w:rPr>
              <w:t>Not provided</w:t>
            </w:r>
          </w:p>
        </w:tc>
        <w:tc>
          <w:tcPr>
            <w:tcW w:w="6840" w:type="dxa"/>
          </w:tcPr>
          <w:p w:rsidR="00034356" w:rsidRDefault="000D1B25" w:rsidP="00622ECD">
            <w:pPr>
              <w:rPr>
                <w:rFonts w:ascii="ArialMT" w:hAnsi="ArialMT" w:cs="ArialMT"/>
                <w:sz w:val="18"/>
                <w:szCs w:val="18"/>
              </w:rPr>
            </w:pPr>
            <w:proofErr w:type="gramStart"/>
            <w:r w:rsidRPr="000D1B25">
              <w:rPr>
                <w:sz w:val="18"/>
                <w:szCs w:val="18"/>
              </w:rPr>
              <w:t>a</w:t>
            </w:r>
            <w:proofErr w:type="gramEnd"/>
            <w:r w:rsidRPr="000D1B25">
              <w:rPr>
                <w:sz w:val="18"/>
                <w:szCs w:val="18"/>
              </w:rPr>
              <w:t>. Add 2 drops (100μL) or enough volu</w:t>
            </w:r>
            <w:r w:rsidR="000932DC">
              <w:rPr>
                <w:sz w:val="18"/>
                <w:szCs w:val="18"/>
              </w:rPr>
              <w:t>me of 10% Normal Goat Serum (nAP-20001</w:t>
            </w:r>
            <w:r w:rsidRPr="000D1B25">
              <w:rPr>
                <w:sz w:val="18"/>
                <w:szCs w:val="18"/>
              </w:rPr>
              <w:t>) to completely cover the tissue section, Incubate for 10 min.</w:t>
            </w:r>
            <w:r w:rsidR="00034356" w:rsidRPr="000D1B25">
              <w:rPr>
                <w:rFonts w:ascii="ArialMT" w:hAnsi="ArialMT" w:cs="ArialMT"/>
                <w:sz w:val="18"/>
                <w:szCs w:val="18"/>
              </w:rPr>
              <w:t xml:space="preserve"> </w:t>
            </w:r>
          </w:p>
          <w:p w:rsidR="00034356" w:rsidRDefault="00034356" w:rsidP="00622ECD">
            <w:pPr>
              <w:rPr>
                <w:rFonts w:ascii="ArialMT" w:hAnsi="ArialMT" w:cs="ArialMT"/>
                <w:sz w:val="18"/>
                <w:szCs w:val="18"/>
              </w:rPr>
            </w:pPr>
            <w:r w:rsidRPr="000D1B25">
              <w:rPr>
                <w:rFonts w:ascii="ArialMT" w:hAnsi="ArialMT" w:cs="ArialMT"/>
                <w:sz w:val="18"/>
                <w:szCs w:val="18"/>
              </w:rPr>
              <w:t xml:space="preserve">b. Drain or blot off solution. DO NOT RINSE </w:t>
            </w:r>
          </w:p>
          <w:p w:rsidR="0004463F" w:rsidRPr="000D1B25" w:rsidRDefault="00034356" w:rsidP="00622ECD">
            <w:pPr>
              <w:rPr>
                <w:sz w:val="18"/>
                <w:szCs w:val="18"/>
              </w:rPr>
            </w:pPr>
            <w:r w:rsidRPr="000D1B25">
              <w:rPr>
                <w:rFonts w:ascii="ArialMT" w:hAnsi="ArialMT" w:cs="ArialMT"/>
                <w:sz w:val="18"/>
                <w:szCs w:val="18"/>
              </w:rPr>
              <w:t>c. See note 8 in Recommended Protocol.</w:t>
            </w:r>
          </w:p>
        </w:tc>
        <w:tc>
          <w:tcPr>
            <w:tcW w:w="1278" w:type="dxa"/>
          </w:tcPr>
          <w:p w:rsidR="0004463F" w:rsidRPr="000D1B25" w:rsidRDefault="000D1B25" w:rsidP="00622E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4B050A">
              <w:rPr>
                <w:sz w:val="18"/>
                <w:szCs w:val="18"/>
              </w:rPr>
              <w:t>min</w:t>
            </w:r>
          </w:p>
        </w:tc>
      </w:tr>
      <w:tr w:rsidR="0004463F" w:rsidRPr="000D1B25" w:rsidTr="004B050A">
        <w:tc>
          <w:tcPr>
            <w:tcW w:w="2898" w:type="dxa"/>
          </w:tcPr>
          <w:p w:rsidR="0004463F" w:rsidRPr="000D1B25" w:rsidRDefault="0004463F" w:rsidP="0003435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8"/>
                <w:szCs w:val="18"/>
              </w:rPr>
            </w:pPr>
          </w:p>
        </w:tc>
        <w:tc>
          <w:tcPr>
            <w:tcW w:w="6840" w:type="dxa"/>
          </w:tcPr>
          <w:p w:rsidR="0004463F" w:rsidRPr="000D1B25" w:rsidRDefault="0004463F" w:rsidP="00FD66A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8"/>
                <w:szCs w:val="18"/>
              </w:rPr>
            </w:pPr>
          </w:p>
        </w:tc>
        <w:tc>
          <w:tcPr>
            <w:tcW w:w="1278" w:type="dxa"/>
          </w:tcPr>
          <w:p w:rsidR="0004463F" w:rsidRPr="000D1B25" w:rsidRDefault="0004463F" w:rsidP="00FD66A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8"/>
                <w:szCs w:val="18"/>
              </w:rPr>
            </w:pPr>
          </w:p>
        </w:tc>
      </w:tr>
      <w:tr w:rsidR="000D1B25" w:rsidRPr="000D1B25" w:rsidTr="004B050A">
        <w:tc>
          <w:tcPr>
            <w:tcW w:w="2898" w:type="dxa"/>
          </w:tcPr>
          <w:p w:rsidR="000D1B25" w:rsidRPr="004B050A" w:rsidRDefault="000D1B25" w:rsidP="00034356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18"/>
                <w:szCs w:val="18"/>
              </w:rPr>
            </w:pPr>
            <w:r w:rsidRPr="004B050A">
              <w:rPr>
                <w:rFonts w:ascii="ArialMT" w:hAnsi="ArialMT" w:cs="ArialMT"/>
                <w:b/>
                <w:sz w:val="18"/>
                <w:szCs w:val="18"/>
              </w:rPr>
              <w:t>4. PRIMARY ANTIBODY</w:t>
            </w:r>
          </w:p>
          <w:p w:rsidR="000D1B25" w:rsidRPr="000D1B25" w:rsidRDefault="000D1B25" w:rsidP="0003435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8"/>
                <w:szCs w:val="18"/>
              </w:rPr>
            </w:pPr>
            <w:r w:rsidRPr="000D1B25">
              <w:rPr>
                <w:rFonts w:ascii="ArialMT" w:hAnsi="ArialMT" w:cs="ArialMT"/>
                <w:sz w:val="18"/>
                <w:szCs w:val="18"/>
              </w:rPr>
              <w:t>Supplied by user</w:t>
            </w:r>
          </w:p>
        </w:tc>
        <w:tc>
          <w:tcPr>
            <w:tcW w:w="6840" w:type="dxa"/>
          </w:tcPr>
          <w:p w:rsidR="00034356" w:rsidRDefault="000D1B25" w:rsidP="00FD66A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8"/>
                <w:szCs w:val="18"/>
              </w:rPr>
            </w:pPr>
            <w:r w:rsidRPr="000D1B25">
              <w:rPr>
                <w:rFonts w:ascii="ArialMT" w:hAnsi="ArialMT" w:cs="ArialMT"/>
                <w:sz w:val="18"/>
                <w:szCs w:val="18"/>
              </w:rPr>
              <w:t>a. Apply 2 drops (100μL) or enough volume of PRIMARY ANTIBODY to cover the tissue section completely. Incubate in moist chamber for 30-60 min.</w:t>
            </w:r>
            <w:r w:rsidR="00034356" w:rsidRPr="000D1B25">
              <w:rPr>
                <w:rFonts w:ascii="ArialMT" w:hAnsi="ArialMT" w:cs="ArialMT"/>
                <w:sz w:val="18"/>
                <w:szCs w:val="18"/>
              </w:rPr>
              <w:t xml:space="preserve"> </w:t>
            </w:r>
          </w:p>
          <w:p w:rsidR="000D1B25" w:rsidRPr="000D1B25" w:rsidRDefault="00034356" w:rsidP="00FD66A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8"/>
                <w:szCs w:val="18"/>
              </w:rPr>
            </w:pPr>
            <w:r w:rsidRPr="000D1B25">
              <w:rPr>
                <w:rFonts w:ascii="ArialMT" w:hAnsi="ArialMT" w:cs="ArialMT"/>
                <w:sz w:val="18"/>
                <w:szCs w:val="18"/>
              </w:rPr>
              <w:t>b. Wash with PBS-T (PBS containing 0.05% Tween-20) 3 times for 2 minutes each time.</w:t>
            </w:r>
          </w:p>
        </w:tc>
        <w:tc>
          <w:tcPr>
            <w:tcW w:w="1278" w:type="dxa"/>
          </w:tcPr>
          <w:p w:rsidR="000D1B25" w:rsidRPr="000D1B25" w:rsidRDefault="000D1B25" w:rsidP="00FD66A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30-60</w:t>
            </w:r>
            <w:r w:rsidR="004B050A">
              <w:rPr>
                <w:rFonts w:ascii="ArialMT" w:hAnsi="ArialMT" w:cs="ArialMT"/>
                <w:sz w:val="18"/>
                <w:szCs w:val="18"/>
              </w:rPr>
              <w:t>min</w:t>
            </w:r>
          </w:p>
        </w:tc>
      </w:tr>
      <w:tr w:rsidR="000D1B25" w:rsidRPr="000D1B25" w:rsidTr="004B050A">
        <w:tc>
          <w:tcPr>
            <w:tcW w:w="2898" w:type="dxa"/>
          </w:tcPr>
          <w:p w:rsidR="000D1B25" w:rsidRPr="000D1B25" w:rsidRDefault="000D1B25" w:rsidP="0003435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8"/>
                <w:szCs w:val="18"/>
              </w:rPr>
            </w:pPr>
          </w:p>
        </w:tc>
        <w:tc>
          <w:tcPr>
            <w:tcW w:w="6840" w:type="dxa"/>
          </w:tcPr>
          <w:p w:rsidR="000D1B25" w:rsidRPr="000D1B25" w:rsidRDefault="000D1B25" w:rsidP="00FD66A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8"/>
                <w:szCs w:val="18"/>
              </w:rPr>
            </w:pPr>
          </w:p>
        </w:tc>
        <w:tc>
          <w:tcPr>
            <w:tcW w:w="1278" w:type="dxa"/>
          </w:tcPr>
          <w:p w:rsidR="000D1B25" w:rsidRPr="000D1B25" w:rsidRDefault="000D1B25" w:rsidP="00FD66A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8"/>
                <w:szCs w:val="18"/>
              </w:rPr>
            </w:pPr>
          </w:p>
        </w:tc>
      </w:tr>
      <w:tr w:rsidR="000D1B25" w:rsidRPr="000D1B25" w:rsidTr="004B050A">
        <w:tc>
          <w:tcPr>
            <w:tcW w:w="2898" w:type="dxa"/>
          </w:tcPr>
          <w:p w:rsidR="000D1B25" w:rsidRPr="004B050A" w:rsidRDefault="00D266DB" w:rsidP="00034356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18"/>
                <w:szCs w:val="18"/>
              </w:rPr>
            </w:pPr>
            <w:r>
              <w:rPr>
                <w:rFonts w:ascii="ArialMT" w:hAnsi="ArialMT" w:cs="ArialMT"/>
                <w:b/>
                <w:sz w:val="18"/>
                <w:szCs w:val="18"/>
              </w:rPr>
              <w:t>5. Reagent 1</w:t>
            </w:r>
          </w:p>
          <w:p w:rsidR="000D1B25" w:rsidRPr="000D1B25" w:rsidRDefault="000D1B25" w:rsidP="0003435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8"/>
                <w:szCs w:val="18"/>
              </w:rPr>
            </w:pPr>
            <w:r w:rsidRPr="000D1B25">
              <w:rPr>
                <w:rFonts w:ascii="ArialMT" w:hAnsi="ArialMT" w:cs="ArialMT"/>
                <w:sz w:val="18"/>
                <w:szCs w:val="18"/>
              </w:rPr>
              <w:t>Polymer HRP anti-Mouse/Rabbit IgG (RTU)</w:t>
            </w:r>
          </w:p>
        </w:tc>
        <w:tc>
          <w:tcPr>
            <w:tcW w:w="6840" w:type="dxa"/>
          </w:tcPr>
          <w:p w:rsidR="000D1B25" w:rsidRPr="000D1B25" w:rsidRDefault="000D1B25" w:rsidP="00FD66A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8"/>
                <w:szCs w:val="18"/>
              </w:rPr>
            </w:pPr>
            <w:r w:rsidRPr="000D1B25">
              <w:rPr>
                <w:rFonts w:ascii="ArialMT" w:hAnsi="ArialMT" w:cs="ArialMT"/>
                <w:sz w:val="18"/>
                <w:szCs w:val="18"/>
              </w:rPr>
              <w:t>a. Apply 2 drops (100μL) or enough volume of Reagent 2 Polymer HRP anti- Mouse/Rabbit IgG to cover each section. Incubate in moist chamber for 15-20 min.</w:t>
            </w:r>
          </w:p>
        </w:tc>
        <w:tc>
          <w:tcPr>
            <w:tcW w:w="1278" w:type="dxa"/>
          </w:tcPr>
          <w:p w:rsidR="000D1B25" w:rsidRPr="000D1B25" w:rsidRDefault="00D266DB" w:rsidP="00D266D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15-30</w:t>
            </w:r>
            <w:r w:rsidR="004B050A">
              <w:rPr>
                <w:rFonts w:ascii="ArialMT" w:hAnsi="ArialMT" w:cs="ArialMT"/>
                <w:sz w:val="18"/>
                <w:szCs w:val="18"/>
              </w:rPr>
              <w:t>min</w:t>
            </w:r>
          </w:p>
        </w:tc>
      </w:tr>
      <w:tr w:rsidR="000D1B25" w:rsidRPr="000D1B25" w:rsidTr="004B050A">
        <w:tc>
          <w:tcPr>
            <w:tcW w:w="2898" w:type="dxa"/>
          </w:tcPr>
          <w:p w:rsidR="000D1B25" w:rsidRPr="000D1B25" w:rsidRDefault="000D1B25" w:rsidP="0003435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8"/>
                <w:szCs w:val="18"/>
              </w:rPr>
            </w:pPr>
          </w:p>
        </w:tc>
        <w:tc>
          <w:tcPr>
            <w:tcW w:w="6840" w:type="dxa"/>
          </w:tcPr>
          <w:p w:rsidR="000D1B25" w:rsidRPr="000D1B25" w:rsidRDefault="000D1B25" w:rsidP="00FD66A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8"/>
                <w:szCs w:val="18"/>
              </w:rPr>
            </w:pPr>
            <w:r w:rsidRPr="000D1B25">
              <w:rPr>
                <w:rFonts w:ascii="ArialMT" w:hAnsi="ArialMT" w:cs="ArialMT"/>
                <w:sz w:val="18"/>
                <w:szCs w:val="18"/>
              </w:rPr>
              <w:t>b. Wash with PBS-T (PBS containing 0.05% Tween-20) 3 times for 2 minutes each time.</w:t>
            </w:r>
          </w:p>
        </w:tc>
        <w:tc>
          <w:tcPr>
            <w:tcW w:w="1278" w:type="dxa"/>
          </w:tcPr>
          <w:p w:rsidR="000D1B25" w:rsidRPr="000D1B25" w:rsidRDefault="000D1B25" w:rsidP="00FD66A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8"/>
                <w:szCs w:val="18"/>
              </w:rPr>
            </w:pPr>
          </w:p>
        </w:tc>
      </w:tr>
      <w:tr w:rsidR="000D1B25" w:rsidRPr="000D1B25" w:rsidTr="004B050A">
        <w:tc>
          <w:tcPr>
            <w:tcW w:w="2898" w:type="dxa"/>
          </w:tcPr>
          <w:p w:rsidR="000D1B25" w:rsidRPr="004B050A" w:rsidRDefault="00D266DB" w:rsidP="00034356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18"/>
                <w:szCs w:val="18"/>
              </w:rPr>
            </w:pPr>
            <w:r>
              <w:rPr>
                <w:rFonts w:ascii="ArialMT" w:hAnsi="ArialMT" w:cs="ArialMT"/>
                <w:b/>
                <w:sz w:val="18"/>
                <w:szCs w:val="18"/>
              </w:rPr>
              <w:t>6</w:t>
            </w:r>
            <w:r w:rsidR="000D1B25" w:rsidRPr="004B050A">
              <w:rPr>
                <w:rFonts w:ascii="ArialMT" w:hAnsi="ArialMT" w:cs="ArialMT"/>
                <w:b/>
                <w:sz w:val="18"/>
                <w:szCs w:val="18"/>
              </w:rPr>
              <w:t>. CHROMOGEN</w:t>
            </w:r>
          </w:p>
          <w:p w:rsidR="000D1B25" w:rsidRPr="000D1B25" w:rsidRDefault="000D1B25" w:rsidP="0003435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8"/>
                <w:szCs w:val="18"/>
              </w:rPr>
            </w:pPr>
            <w:r w:rsidRPr="000D1B25">
              <w:rPr>
                <w:rFonts w:ascii="ArialMT" w:hAnsi="ArialMT" w:cs="ArialMT"/>
                <w:sz w:val="18"/>
                <w:szCs w:val="18"/>
              </w:rPr>
              <w:t>Reagent 3A: DAB Substrate(RTU)</w:t>
            </w:r>
          </w:p>
          <w:p w:rsidR="000D1B25" w:rsidRPr="000D1B25" w:rsidRDefault="000D1B25" w:rsidP="0003435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 xml:space="preserve">Reagent </w:t>
            </w:r>
            <w:r w:rsidRPr="000D1B25">
              <w:rPr>
                <w:rFonts w:ascii="ArialMT" w:hAnsi="ArialMT" w:cs="ArialMT"/>
                <w:sz w:val="18"/>
                <w:szCs w:val="18"/>
              </w:rPr>
              <w:t>3B: DAB Chromogen</w:t>
            </w:r>
            <w:r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Pr="000D1B25">
              <w:rPr>
                <w:rFonts w:ascii="ArialMT" w:hAnsi="ArialMT" w:cs="ArialMT"/>
                <w:sz w:val="18"/>
                <w:szCs w:val="18"/>
              </w:rPr>
              <w:t>(20x)</w:t>
            </w:r>
          </w:p>
        </w:tc>
        <w:tc>
          <w:tcPr>
            <w:tcW w:w="6840" w:type="dxa"/>
          </w:tcPr>
          <w:p w:rsidR="000D1B25" w:rsidRPr="000D1B25" w:rsidRDefault="000D1B25" w:rsidP="000D1B25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8"/>
                <w:szCs w:val="18"/>
              </w:rPr>
            </w:pPr>
            <w:r w:rsidRPr="000D1B25">
              <w:rPr>
                <w:rFonts w:ascii="ArialMT" w:hAnsi="ArialMT" w:cs="ArialMT"/>
                <w:sz w:val="18"/>
                <w:szCs w:val="18"/>
              </w:rPr>
              <w:t>a. Add 1 drop or 2 drops (for higher sensitivity and contrast) of Reagent 3B into 1mL Reagent 3A. Mix well.</w:t>
            </w:r>
          </w:p>
          <w:p w:rsidR="000D1B25" w:rsidRPr="000D1B25" w:rsidRDefault="000D1B25" w:rsidP="000D1B25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8"/>
                <w:szCs w:val="18"/>
              </w:rPr>
            </w:pPr>
            <w:r w:rsidRPr="000D1B25">
              <w:rPr>
                <w:rFonts w:ascii="ArialMT" w:hAnsi="ArialMT" w:cs="ArialMT"/>
                <w:sz w:val="18"/>
                <w:szCs w:val="18"/>
              </w:rPr>
              <w:t>b. Apply 2 drops (100μL) or enough of DAB working solution to completely cover tissue section. Incubate for about 5 min. Monitor the color development under microscope.</w:t>
            </w:r>
          </w:p>
          <w:p w:rsidR="000D1B25" w:rsidRPr="000D1B25" w:rsidRDefault="000D1B25" w:rsidP="000D1B25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8"/>
                <w:szCs w:val="18"/>
              </w:rPr>
            </w:pPr>
            <w:r w:rsidRPr="000D1B25">
              <w:rPr>
                <w:rFonts w:ascii="ArialMT" w:hAnsi="ArialMT" w:cs="ArialMT"/>
                <w:sz w:val="18"/>
                <w:szCs w:val="18"/>
              </w:rPr>
              <w:t>c. Rinse well in distill or tap water</w:t>
            </w:r>
          </w:p>
          <w:p w:rsidR="000D1B25" w:rsidRPr="000D1B25" w:rsidRDefault="000D1B25" w:rsidP="000D1B25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8"/>
                <w:szCs w:val="18"/>
              </w:rPr>
            </w:pPr>
            <w:r w:rsidRPr="000D1B25">
              <w:rPr>
                <w:rFonts w:ascii="ArialMT" w:hAnsi="ArialMT" w:cs="ArialMT"/>
                <w:sz w:val="18"/>
                <w:szCs w:val="18"/>
              </w:rPr>
              <w:t>Note: Protect DAB working solution from light and use within 5 hours.</w:t>
            </w:r>
          </w:p>
        </w:tc>
        <w:tc>
          <w:tcPr>
            <w:tcW w:w="1278" w:type="dxa"/>
          </w:tcPr>
          <w:p w:rsidR="000D1B25" w:rsidRPr="000D1B25" w:rsidRDefault="000D1B25" w:rsidP="00FD66A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5</w:t>
            </w:r>
            <w:r w:rsidR="004B050A">
              <w:rPr>
                <w:rFonts w:ascii="ArialMT" w:hAnsi="ArialMT" w:cs="ArialMT"/>
                <w:sz w:val="18"/>
                <w:szCs w:val="18"/>
              </w:rPr>
              <w:t>min</w:t>
            </w:r>
          </w:p>
        </w:tc>
      </w:tr>
      <w:tr w:rsidR="00E04F06" w:rsidRPr="000D1B25" w:rsidTr="004B050A">
        <w:tc>
          <w:tcPr>
            <w:tcW w:w="2898" w:type="dxa"/>
          </w:tcPr>
          <w:p w:rsidR="00E04F06" w:rsidRPr="004B050A" w:rsidRDefault="00E04F06" w:rsidP="00034356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18"/>
                <w:szCs w:val="18"/>
              </w:rPr>
            </w:pPr>
          </w:p>
        </w:tc>
        <w:tc>
          <w:tcPr>
            <w:tcW w:w="6840" w:type="dxa"/>
          </w:tcPr>
          <w:p w:rsidR="00E04F06" w:rsidRPr="000D1B25" w:rsidRDefault="00E04F06" w:rsidP="000D1B25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8"/>
                <w:szCs w:val="18"/>
              </w:rPr>
            </w:pPr>
          </w:p>
        </w:tc>
        <w:tc>
          <w:tcPr>
            <w:tcW w:w="1278" w:type="dxa"/>
          </w:tcPr>
          <w:p w:rsidR="00E04F06" w:rsidRDefault="00E04F06" w:rsidP="00FD66A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8"/>
                <w:szCs w:val="18"/>
              </w:rPr>
            </w:pPr>
          </w:p>
        </w:tc>
      </w:tr>
      <w:tr w:rsidR="000D1B25" w:rsidRPr="000D1B25" w:rsidTr="004B050A">
        <w:tc>
          <w:tcPr>
            <w:tcW w:w="2898" w:type="dxa"/>
          </w:tcPr>
          <w:p w:rsidR="000D1B25" w:rsidRPr="004B050A" w:rsidRDefault="00D266DB" w:rsidP="00034356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18"/>
                <w:szCs w:val="18"/>
              </w:rPr>
            </w:pPr>
            <w:r>
              <w:rPr>
                <w:rFonts w:ascii="ArialMT" w:hAnsi="ArialMT" w:cs="ArialMT"/>
                <w:b/>
                <w:sz w:val="18"/>
                <w:szCs w:val="18"/>
              </w:rPr>
              <w:t>7</w:t>
            </w:r>
            <w:r w:rsidR="000D1B25" w:rsidRPr="004B050A">
              <w:rPr>
                <w:rFonts w:ascii="ArialMT" w:hAnsi="ArialMT" w:cs="ArialMT"/>
                <w:b/>
                <w:sz w:val="18"/>
                <w:szCs w:val="18"/>
              </w:rPr>
              <w:t>. HEMATOXYLIN</w:t>
            </w:r>
          </w:p>
          <w:p w:rsidR="000D1B25" w:rsidRPr="000D1B25" w:rsidRDefault="000D1B25" w:rsidP="0003435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8"/>
                <w:szCs w:val="18"/>
              </w:rPr>
            </w:pPr>
            <w:r w:rsidRPr="000D1B25">
              <w:rPr>
                <w:rFonts w:ascii="ArialMT" w:hAnsi="ArialMT" w:cs="ArialMT"/>
                <w:sz w:val="18"/>
                <w:szCs w:val="18"/>
              </w:rPr>
              <w:t>Supplied by user</w:t>
            </w:r>
          </w:p>
        </w:tc>
        <w:tc>
          <w:tcPr>
            <w:tcW w:w="6840" w:type="dxa"/>
          </w:tcPr>
          <w:p w:rsidR="000D1B25" w:rsidRPr="000D1B25" w:rsidRDefault="000D1B25" w:rsidP="000D1B25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8"/>
                <w:szCs w:val="18"/>
              </w:rPr>
            </w:pPr>
            <w:r w:rsidRPr="000D1B25">
              <w:rPr>
                <w:rFonts w:ascii="ArialMT" w:hAnsi="ArialMT" w:cs="ArialMT"/>
                <w:sz w:val="18"/>
                <w:szCs w:val="18"/>
              </w:rPr>
              <w:t>a. Counterstain with 2 drops (100μL) or enough volume of Hematoxylin to cover tissue completely and wait about 20-30 seconds.</w:t>
            </w:r>
          </w:p>
          <w:p w:rsidR="000D1B25" w:rsidRPr="000D1B25" w:rsidRDefault="000D1B25" w:rsidP="000D1B25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8"/>
                <w:szCs w:val="18"/>
              </w:rPr>
            </w:pPr>
            <w:r w:rsidRPr="000D1B25">
              <w:rPr>
                <w:rFonts w:ascii="ArialMT" w:hAnsi="ArialMT" w:cs="ArialMT"/>
                <w:sz w:val="18"/>
                <w:szCs w:val="18"/>
              </w:rPr>
              <w:t>20 seconds</w:t>
            </w:r>
          </w:p>
          <w:p w:rsidR="000D1B25" w:rsidRPr="000D1B25" w:rsidRDefault="000D1B25" w:rsidP="000D1B25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8"/>
                <w:szCs w:val="18"/>
              </w:rPr>
            </w:pPr>
            <w:r w:rsidRPr="000D1B25">
              <w:rPr>
                <w:rFonts w:ascii="ArialMT" w:hAnsi="ArialMT" w:cs="ArialMT"/>
                <w:sz w:val="18"/>
                <w:szCs w:val="18"/>
              </w:rPr>
              <w:t>b. Rinse well with running tap water for 1-2 minutes.</w:t>
            </w:r>
          </w:p>
          <w:p w:rsidR="000D1B25" w:rsidRPr="000D1B25" w:rsidRDefault="000D1B25" w:rsidP="000D1B25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8"/>
                <w:szCs w:val="18"/>
              </w:rPr>
            </w:pPr>
            <w:r w:rsidRPr="000D1B25">
              <w:rPr>
                <w:rFonts w:ascii="ArialMT" w:hAnsi="ArialMT" w:cs="ArialMT"/>
                <w:sz w:val="18"/>
                <w:szCs w:val="18"/>
              </w:rPr>
              <w:t>c. Put slides in PBS until show blue color (about 30-60 seconds).</w:t>
            </w:r>
          </w:p>
          <w:p w:rsidR="000D1B25" w:rsidRPr="000D1B25" w:rsidRDefault="000D1B25" w:rsidP="000D1B25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8"/>
                <w:szCs w:val="18"/>
              </w:rPr>
            </w:pPr>
            <w:r w:rsidRPr="000D1B25">
              <w:rPr>
                <w:rFonts w:ascii="ArialMT" w:hAnsi="ArialMT" w:cs="ArialMT"/>
                <w:sz w:val="18"/>
                <w:szCs w:val="18"/>
              </w:rPr>
              <w:t>d. Rinse well in distill or tap water</w:t>
            </w:r>
          </w:p>
        </w:tc>
        <w:tc>
          <w:tcPr>
            <w:tcW w:w="1278" w:type="dxa"/>
          </w:tcPr>
          <w:p w:rsidR="000D1B25" w:rsidRPr="000D1B25" w:rsidRDefault="000D1B25" w:rsidP="00FD66A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20 Second</w:t>
            </w:r>
          </w:p>
        </w:tc>
      </w:tr>
      <w:tr w:rsidR="00E04F06" w:rsidRPr="000D1B25" w:rsidTr="004B050A">
        <w:tc>
          <w:tcPr>
            <w:tcW w:w="2898" w:type="dxa"/>
          </w:tcPr>
          <w:p w:rsidR="00E04F06" w:rsidRPr="004B050A" w:rsidRDefault="00E04F06" w:rsidP="00034356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18"/>
                <w:szCs w:val="18"/>
              </w:rPr>
            </w:pPr>
          </w:p>
        </w:tc>
        <w:tc>
          <w:tcPr>
            <w:tcW w:w="6840" w:type="dxa"/>
          </w:tcPr>
          <w:p w:rsidR="00E04F06" w:rsidRPr="000D1B25" w:rsidRDefault="00E04F06" w:rsidP="000D1B25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8"/>
                <w:szCs w:val="18"/>
              </w:rPr>
            </w:pPr>
          </w:p>
        </w:tc>
        <w:tc>
          <w:tcPr>
            <w:tcW w:w="1278" w:type="dxa"/>
          </w:tcPr>
          <w:p w:rsidR="00E04F06" w:rsidRDefault="00E04F06" w:rsidP="00FD66A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8"/>
                <w:szCs w:val="18"/>
              </w:rPr>
            </w:pPr>
          </w:p>
        </w:tc>
      </w:tr>
      <w:tr w:rsidR="000D1B25" w:rsidRPr="000D1B25" w:rsidTr="004B050A">
        <w:tc>
          <w:tcPr>
            <w:tcW w:w="2898" w:type="dxa"/>
          </w:tcPr>
          <w:p w:rsidR="00D44CCC" w:rsidRPr="004B050A" w:rsidRDefault="00D266DB" w:rsidP="00034356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sz w:val="18"/>
                <w:szCs w:val="18"/>
              </w:rPr>
            </w:pPr>
            <w:r>
              <w:rPr>
                <w:rFonts w:ascii="ArialMT" w:hAnsi="ArialMT" w:cs="ArialMT"/>
                <w:b/>
                <w:sz w:val="18"/>
                <w:szCs w:val="18"/>
              </w:rPr>
              <w:t>8</w:t>
            </w:r>
            <w:r w:rsidR="00D44CCC" w:rsidRPr="004B050A">
              <w:rPr>
                <w:rFonts w:ascii="ArialMT" w:hAnsi="ArialMT" w:cs="ArialMT"/>
                <w:b/>
                <w:sz w:val="18"/>
                <w:szCs w:val="18"/>
              </w:rPr>
              <w:t xml:space="preserve">. Mounting </w:t>
            </w:r>
            <w:r w:rsidR="004B050A" w:rsidRPr="004B050A">
              <w:rPr>
                <w:rFonts w:ascii="ArialMT" w:hAnsi="ArialMT" w:cs="ArialMT"/>
                <w:b/>
                <w:sz w:val="18"/>
                <w:szCs w:val="18"/>
              </w:rPr>
              <w:t>M</w:t>
            </w:r>
            <w:r w:rsidR="00D44CCC" w:rsidRPr="004B050A">
              <w:rPr>
                <w:rFonts w:ascii="ArialMT" w:hAnsi="ArialMT" w:cs="ArialMT"/>
                <w:b/>
                <w:sz w:val="18"/>
                <w:szCs w:val="18"/>
              </w:rPr>
              <w:t>edium:</w:t>
            </w:r>
          </w:p>
          <w:p w:rsidR="000D1B25" w:rsidRPr="000D1B25" w:rsidRDefault="00D44CCC" w:rsidP="0003435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8"/>
                <w:szCs w:val="18"/>
              </w:rPr>
            </w:pPr>
            <w:r w:rsidRPr="00D44CCC">
              <w:rPr>
                <w:rFonts w:ascii="ArialMT" w:hAnsi="ArialMT" w:cs="ArialMT"/>
                <w:sz w:val="18"/>
                <w:szCs w:val="18"/>
              </w:rPr>
              <w:t>Supplied by user</w:t>
            </w:r>
          </w:p>
        </w:tc>
        <w:tc>
          <w:tcPr>
            <w:tcW w:w="6840" w:type="dxa"/>
          </w:tcPr>
          <w:p w:rsidR="00D44CCC" w:rsidRPr="00D44CCC" w:rsidRDefault="00D44CCC" w:rsidP="00D44CC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8"/>
                <w:szCs w:val="18"/>
              </w:rPr>
            </w:pPr>
            <w:r w:rsidRPr="00D44CCC">
              <w:rPr>
                <w:rFonts w:ascii="ArialMT" w:hAnsi="ArialMT" w:cs="ArialMT"/>
                <w:sz w:val="18"/>
                <w:szCs w:val="18"/>
              </w:rPr>
              <w:t>Follow the manufacture data sheet procedure for mounting.</w:t>
            </w:r>
          </w:p>
          <w:p w:rsidR="00D44CCC" w:rsidRPr="00D44CCC" w:rsidRDefault="00D44CCC" w:rsidP="00D44CC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8"/>
                <w:szCs w:val="18"/>
              </w:rPr>
            </w:pPr>
            <w:r w:rsidRPr="00D44CCC">
              <w:rPr>
                <w:rFonts w:ascii="ArialMT" w:hAnsi="ArialMT" w:cs="ArialMT"/>
                <w:sz w:val="18"/>
                <w:szCs w:val="18"/>
              </w:rPr>
              <w:t>Recommended product:</w:t>
            </w:r>
          </w:p>
          <w:p w:rsidR="00D44CCC" w:rsidRPr="00D44CCC" w:rsidRDefault="009D74F2" w:rsidP="00D44CC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8"/>
                <w:szCs w:val="18"/>
              </w:rPr>
            </w:pPr>
            <w:proofErr w:type="spellStart"/>
            <w:r>
              <w:rPr>
                <w:rFonts w:ascii="ArialMT" w:hAnsi="ArialMT" w:cs="ArialMT"/>
                <w:sz w:val="18"/>
                <w:szCs w:val="18"/>
              </w:rPr>
              <w:t>Angio-Proteomie</w:t>
            </w:r>
            <w:proofErr w:type="spellEnd"/>
            <w:r w:rsidR="00D44CCC" w:rsidRPr="00D44CCC">
              <w:rPr>
                <w:rFonts w:ascii="ArialMT" w:hAnsi="ArialMT" w:cs="ArialMT"/>
                <w:sz w:val="18"/>
                <w:szCs w:val="18"/>
              </w:rPr>
              <w:t xml:space="preserve">: Cat. No. </w:t>
            </w:r>
            <w:r>
              <w:rPr>
                <w:rFonts w:ascii="ArialMT" w:hAnsi="ArialMT" w:cs="ArialMT"/>
                <w:sz w:val="18"/>
                <w:szCs w:val="18"/>
              </w:rPr>
              <w:t>nAP-</w:t>
            </w:r>
            <w:r w:rsidR="000932DC">
              <w:rPr>
                <w:rFonts w:ascii="ArialMT" w:hAnsi="ArialMT" w:cs="ArialMT"/>
                <w:sz w:val="18"/>
                <w:szCs w:val="18"/>
              </w:rPr>
              <w:t>20002</w:t>
            </w:r>
          </w:p>
          <w:p w:rsidR="000D1B25" w:rsidRPr="000D1B25" w:rsidRDefault="000D1B25" w:rsidP="00D44CC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8"/>
                <w:szCs w:val="18"/>
              </w:rPr>
            </w:pPr>
          </w:p>
        </w:tc>
        <w:tc>
          <w:tcPr>
            <w:tcW w:w="1278" w:type="dxa"/>
          </w:tcPr>
          <w:p w:rsidR="000D1B25" w:rsidRPr="000D1B25" w:rsidRDefault="00D44CCC" w:rsidP="00FD66A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Refer to data sheet</w:t>
            </w:r>
          </w:p>
        </w:tc>
      </w:tr>
      <w:tr w:rsidR="000D1B25" w:rsidRPr="000D1B25" w:rsidTr="004B050A">
        <w:tc>
          <w:tcPr>
            <w:tcW w:w="2898" w:type="dxa"/>
          </w:tcPr>
          <w:p w:rsidR="000D1B25" w:rsidRPr="000D1B25" w:rsidRDefault="000D1B25" w:rsidP="00FD66A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8"/>
                <w:szCs w:val="18"/>
              </w:rPr>
            </w:pPr>
          </w:p>
        </w:tc>
        <w:tc>
          <w:tcPr>
            <w:tcW w:w="6840" w:type="dxa"/>
          </w:tcPr>
          <w:p w:rsidR="000D1B25" w:rsidRPr="000D1B25" w:rsidRDefault="000D1B25" w:rsidP="00FD66A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8"/>
                <w:szCs w:val="18"/>
              </w:rPr>
            </w:pPr>
          </w:p>
        </w:tc>
        <w:tc>
          <w:tcPr>
            <w:tcW w:w="1278" w:type="dxa"/>
          </w:tcPr>
          <w:p w:rsidR="000D1B25" w:rsidRPr="000D1B25" w:rsidRDefault="000D1B25" w:rsidP="00FD66A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8"/>
                <w:szCs w:val="18"/>
              </w:rPr>
            </w:pPr>
          </w:p>
        </w:tc>
      </w:tr>
    </w:tbl>
    <w:p w:rsidR="0004463F" w:rsidRDefault="0004463F" w:rsidP="00FD66A7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</w:p>
    <w:p w:rsidR="0004463F" w:rsidRPr="0004463F" w:rsidRDefault="0004463F" w:rsidP="0004463F">
      <w:pPr>
        <w:autoSpaceDE w:val="0"/>
        <w:autoSpaceDN w:val="0"/>
        <w:adjustRightInd w:val="0"/>
        <w:jc w:val="both"/>
        <w:rPr>
          <w:rFonts w:ascii="ArialMT" w:hAnsi="ArialMT" w:cs="ArialMT"/>
          <w:b/>
          <w:sz w:val="20"/>
          <w:szCs w:val="20"/>
        </w:rPr>
      </w:pPr>
      <w:r w:rsidRPr="0004463F">
        <w:rPr>
          <w:rFonts w:ascii="ArialMT" w:hAnsi="ArialMT" w:cs="ArialMT"/>
          <w:b/>
          <w:sz w:val="20"/>
          <w:szCs w:val="20"/>
        </w:rPr>
        <w:t>Precautious:</w:t>
      </w:r>
    </w:p>
    <w:p w:rsidR="0004463F" w:rsidRPr="0004463F" w:rsidRDefault="0004463F" w:rsidP="0004463F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 w:rsidRPr="0004463F">
        <w:rPr>
          <w:rFonts w:ascii="ArialMT" w:hAnsi="ArialMT" w:cs="ArialMT"/>
          <w:sz w:val="20"/>
          <w:szCs w:val="20"/>
        </w:rPr>
        <w:t>DAB may be carcinogenic. Please wear gloves and take other necessary precautions.</w:t>
      </w:r>
    </w:p>
    <w:p w:rsidR="00D44CCC" w:rsidRDefault="00D44CCC" w:rsidP="0004463F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</w:p>
    <w:p w:rsidR="0004463F" w:rsidRPr="00D44CCC" w:rsidRDefault="0004463F" w:rsidP="0004463F">
      <w:pPr>
        <w:autoSpaceDE w:val="0"/>
        <w:autoSpaceDN w:val="0"/>
        <w:adjustRightInd w:val="0"/>
        <w:jc w:val="both"/>
        <w:rPr>
          <w:rFonts w:ascii="ArialMT" w:hAnsi="ArialMT" w:cs="ArialMT"/>
          <w:b/>
          <w:sz w:val="20"/>
          <w:szCs w:val="20"/>
        </w:rPr>
      </w:pPr>
      <w:r w:rsidRPr="00D44CCC">
        <w:rPr>
          <w:rFonts w:ascii="ArialMT" w:hAnsi="ArialMT" w:cs="ArialMT"/>
          <w:b/>
          <w:sz w:val="20"/>
          <w:szCs w:val="20"/>
        </w:rPr>
        <w:t>Remarks:</w:t>
      </w:r>
    </w:p>
    <w:p w:rsidR="0004463F" w:rsidRDefault="00D266DB" w:rsidP="0004463F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For Research Use only</w:t>
      </w:r>
    </w:p>
    <w:p w:rsidR="0004463F" w:rsidRPr="00FD66A7" w:rsidRDefault="0004463F" w:rsidP="0004463F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</w:p>
    <w:p w:rsidR="002D3942" w:rsidRDefault="002D3942" w:rsidP="002D3942">
      <w:pPr>
        <w:autoSpaceDE w:val="0"/>
        <w:autoSpaceDN w:val="0"/>
        <w:adjustRightInd w:val="0"/>
        <w:jc w:val="both"/>
        <w:rPr>
          <w:rFonts w:ascii="ArialMT" w:hAnsi="ArialMT" w:cs="ArialMT"/>
          <w:b/>
          <w:sz w:val="16"/>
          <w:szCs w:val="16"/>
        </w:rPr>
      </w:pPr>
    </w:p>
    <w:p w:rsidR="00D44CCC" w:rsidRDefault="00D44CCC" w:rsidP="002D3942">
      <w:pPr>
        <w:autoSpaceDE w:val="0"/>
        <w:autoSpaceDN w:val="0"/>
        <w:adjustRightInd w:val="0"/>
        <w:jc w:val="both"/>
        <w:rPr>
          <w:rFonts w:ascii="ArialMT" w:hAnsi="ArialMT" w:cs="ArialMT"/>
          <w:b/>
          <w:sz w:val="16"/>
          <w:szCs w:val="16"/>
        </w:rPr>
      </w:pPr>
    </w:p>
    <w:p w:rsidR="00D266DB" w:rsidRDefault="00D266DB" w:rsidP="002D3942">
      <w:pPr>
        <w:autoSpaceDE w:val="0"/>
        <w:autoSpaceDN w:val="0"/>
        <w:adjustRightInd w:val="0"/>
        <w:jc w:val="both"/>
        <w:rPr>
          <w:rFonts w:ascii="ArialMT" w:hAnsi="ArialMT" w:cs="ArialMT"/>
          <w:b/>
          <w:sz w:val="16"/>
          <w:szCs w:val="16"/>
        </w:rPr>
      </w:pPr>
    </w:p>
    <w:p w:rsidR="00D266DB" w:rsidRDefault="00D266DB" w:rsidP="002D3942">
      <w:pPr>
        <w:autoSpaceDE w:val="0"/>
        <w:autoSpaceDN w:val="0"/>
        <w:adjustRightInd w:val="0"/>
        <w:jc w:val="both"/>
        <w:rPr>
          <w:rFonts w:ascii="ArialMT" w:hAnsi="ArialMT" w:cs="ArialMT"/>
          <w:b/>
          <w:sz w:val="16"/>
          <w:szCs w:val="16"/>
        </w:rPr>
      </w:pPr>
    </w:p>
    <w:p w:rsidR="00D266DB" w:rsidRDefault="00D266DB" w:rsidP="002D3942">
      <w:pPr>
        <w:autoSpaceDE w:val="0"/>
        <w:autoSpaceDN w:val="0"/>
        <w:adjustRightInd w:val="0"/>
        <w:jc w:val="both"/>
        <w:rPr>
          <w:rFonts w:ascii="ArialMT" w:hAnsi="ArialMT" w:cs="ArialMT"/>
          <w:b/>
          <w:sz w:val="16"/>
          <w:szCs w:val="16"/>
        </w:rPr>
      </w:pPr>
    </w:p>
    <w:p w:rsidR="00D266DB" w:rsidRDefault="00D266DB" w:rsidP="002D3942">
      <w:pPr>
        <w:autoSpaceDE w:val="0"/>
        <w:autoSpaceDN w:val="0"/>
        <w:adjustRightInd w:val="0"/>
        <w:jc w:val="both"/>
        <w:rPr>
          <w:rFonts w:ascii="ArialMT" w:hAnsi="ArialMT" w:cs="ArialMT"/>
          <w:b/>
          <w:sz w:val="16"/>
          <w:szCs w:val="16"/>
        </w:rPr>
      </w:pPr>
      <w:bookmarkStart w:id="0" w:name="_GoBack"/>
      <w:bookmarkEnd w:id="0"/>
    </w:p>
    <w:p w:rsidR="002D3942" w:rsidRDefault="002D3942" w:rsidP="002D3942">
      <w:pPr>
        <w:autoSpaceDE w:val="0"/>
        <w:autoSpaceDN w:val="0"/>
        <w:adjustRightInd w:val="0"/>
        <w:jc w:val="both"/>
        <w:rPr>
          <w:rFonts w:ascii="ArialMT" w:hAnsi="ArialMT" w:cs="ArialMT"/>
          <w:b/>
          <w:sz w:val="16"/>
          <w:szCs w:val="16"/>
        </w:rPr>
      </w:pPr>
    </w:p>
    <w:p w:rsidR="00B0467B" w:rsidRPr="002D3942" w:rsidRDefault="001062EB" w:rsidP="002D3942">
      <w:pPr>
        <w:autoSpaceDE w:val="0"/>
        <w:autoSpaceDN w:val="0"/>
        <w:adjustRightInd w:val="0"/>
        <w:jc w:val="both"/>
        <w:rPr>
          <w:rFonts w:ascii="ArialMT" w:hAnsi="ArialMT" w:cs="ArialMT"/>
          <w:b/>
          <w:sz w:val="16"/>
          <w:szCs w:val="16"/>
        </w:rPr>
      </w:pPr>
      <w:r>
        <w:rPr>
          <w:noProof/>
          <w:sz w:val="18"/>
          <w:szCs w:val="18"/>
        </w:rPr>
        <w:pict w14:anchorId="1715BE1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.4pt;margin-top:841.8pt;width:569.4pt;height:358.6pt;z-index:251658240;mso-position-horizontal-relative:page;mso-position-vertical-relative:page" wrapcoords="0 0" o:allowincell="f" filled="f" stroked="f">
            <v:textbox>
              <w:txbxContent>
                <w:p w:rsidR="0004463F" w:rsidRDefault="0004463F"/>
              </w:txbxContent>
            </v:textbox>
            <w10:wrap type="through" anchorx="page" anchory="page"/>
          </v:shape>
        </w:pict>
      </w:r>
      <w:r w:rsidR="002D3942">
        <w:rPr>
          <w:rFonts w:ascii="ArialMT" w:hAnsi="ArialMT" w:cs="ArialMT"/>
          <w:b/>
          <w:sz w:val="16"/>
          <w:szCs w:val="16"/>
        </w:rPr>
        <w:t>Caution: Handling human tissue derived products is potentially bio-</w:t>
      </w:r>
      <w:proofErr w:type="gramStart"/>
      <w:r w:rsidR="002D3942">
        <w:rPr>
          <w:rFonts w:ascii="ArialMT" w:hAnsi="ArialMT" w:cs="ArialMT"/>
          <w:b/>
          <w:sz w:val="16"/>
          <w:szCs w:val="16"/>
        </w:rPr>
        <w:t>hazardous</w:t>
      </w:r>
      <w:r w:rsidR="00D44CCC">
        <w:rPr>
          <w:rFonts w:ascii="ArialMT" w:hAnsi="ArialMT" w:cs="ArialMT"/>
          <w:b/>
          <w:sz w:val="16"/>
          <w:szCs w:val="16"/>
        </w:rPr>
        <w:t>,</w:t>
      </w:r>
      <w:proofErr w:type="gramEnd"/>
      <w:r w:rsidR="00D44CCC">
        <w:rPr>
          <w:rFonts w:ascii="ArialMT" w:hAnsi="ArialMT" w:cs="ArialMT"/>
          <w:b/>
          <w:sz w:val="16"/>
          <w:szCs w:val="16"/>
        </w:rPr>
        <w:t xml:space="preserve"> a</w:t>
      </w:r>
      <w:r w:rsidR="002D3942">
        <w:rPr>
          <w:rFonts w:ascii="ArialMT" w:hAnsi="ArialMT" w:cs="ArialMT"/>
          <w:b/>
          <w:sz w:val="16"/>
          <w:szCs w:val="16"/>
        </w:rPr>
        <w:t xml:space="preserve">lways wear gloves and safety glasses when working </w:t>
      </w:r>
      <w:r w:rsidR="00D44CCC">
        <w:rPr>
          <w:rFonts w:ascii="ArialMT" w:hAnsi="ArialMT" w:cs="ArialMT"/>
          <w:b/>
          <w:sz w:val="16"/>
          <w:szCs w:val="16"/>
        </w:rPr>
        <w:t xml:space="preserve">on </w:t>
      </w:r>
      <w:r w:rsidR="002D3942">
        <w:rPr>
          <w:rFonts w:ascii="ArialMT" w:hAnsi="ArialMT" w:cs="ArialMT"/>
          <w:b/>
          <w:sz w:val="16"/>
          <w:szCs w:val="16"/>
        </w:rPr>
        <w:t>these materials. Never mouth pipette. We recommend following the universal procedures for handling products of human origin as the minimum precaution against contamination.</w:t>
      </w:r>
    </w:p>
    <w:sectPr w:rsidR="00B0467B" w:rsidRPr="002D3942" w:rsidSect="0082721E">
      <w:headerReference w:type="default" r:id="rId9"/>
      <w:footerReference w:type="default" r:id="rId10"/>
      <w:pgSz w:w="12240" w:h="15840"/>
      <w:pgMar w:top="1440" w:right="720" w:bottom="1080" w:left="720" w:header="36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2EB" w:rsidRDefault="001062EB">
      <w:r>
        <w:separator/>
      </w:r>
    </w:p>
  </w:endnote>
  <w:endnote w:type="continuationSeparator" w:id="0">
    <w:p w:rsidR="001062EB" w:rsidRDefault="0010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Century Schlbk">
    <w:altName w:val="Century School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CF8" w:rsidRDefault="0038264A" w:rsidP="0038264A">
    <w:pPr>
      <w:autoSpaceDE w:val="0"/>
      <w:autoSpaceDN w:val="0"/>
      <w:adjustRightInd w:val="0"/>
      <w:jc w:val="center"/>
      <w:rPr>
        <w:rFonts w:ascii="TimesNewRomanPSMT" w:hAnsi="TimesNewRomanPSMT" w:cs="TimesNewRomanPSMT"/>
        <w:color w:val="000000"/>
      </w:rPr>
    </w:pPr>
    <w:r>
      <w:rPr>
        <w:rFonts w:ascii="TimesNewRomanPSMT" w:hAnsi="TimesNewRomanPSMT" w:cs="TimesNewRomanPSMT"/>
        <w:noProof/>
        <w:color w:val="000000"/>
      </w:rPr>
      <w:drawing>
        <wp:inline distT="0" distB="0" distL="0" distR="0" wp14:anchorId="52AD582B" wp14:editId="5F1C38AB">
          <wp:extent cx="5279390" cy="164465"/>
          <wp:effectExtent l="0" t="0" r="0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9390" cy="164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2721E" w:rsidRDefault="0082721E" w:rsidP="0038264A">
    <w:pPr>
      <w:autoSpaceDE w:val="0"/>
      <w:autoSpaceDN w:val="0"/>
      <w:adjustRightInd w:val="0"/>
      <w:jc w:val="center"/>
      <w:rPr>
        <w:rFonts w:ascii="TimesNewRomanPSMT" w:hAnsi="TimesNewRomanPSMT" w:cs="TimesNewRomanPSMT"/>
        <w:color w:val="000000"/>
      </w:rPr>
    </w:pPr>
  </w:p>
  <w:p w:rsidR="00706CF8" w:rsidRDefault="00706C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2EB" w:rsidRDefault="001062EB">
      <w:r>
        <w:separator/>
      </w:r>
    </w:p>
  </w:footnote>
  <w:footnote w:type="continuationSeparator" w:id="0">
    <w:p w:rsidR="001062EB" w:rsidRDefault="00106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64A" w:rsidRDefault="0038264A" w:rsidP="0038264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C1590D" wp14:editId="4B8206D0">
          <wp:simplePos x="0" y="0"/>
          <wp:positionH relativeFrom="column">
            <wp:posOffset>66675</wp:posOffset>
          </wp:positionH>
          <wp:positionV relativeFrom="paragraph">
            <wp:posOffset>106680</wp:posOffset>
          </wp:positionV>
          <wp:extent cx="539115" cy="648970"/>
          <wp:effectExtent l="0" t="0" r="0" b="0"/>
          <wp:wrapTight wrapText="bothSides">
            <wp:wrapPolygon edited="0">
              <wp:start x="8396" y="0"/>
              <wp:lineTo x="0" y="8877"/>
              <wp:lineTo x="0" y="11413"/>
              <wp:lineTo x="9159" y="20924"/>
              <wp:lineTo x="12212" y="20924"/>
              <wp:lineTo x="20608" y="12047"/>
              <wp:lineTo x="20608" y="8877"/>
              <wp:lineTo x="12975" y="0"/>
              <wp:lineTo x="839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48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B31">
      <w:t xml:space="preserve">                                                                                                           </w:t>
    </w:r>
  </w:p>
  <w:p w:rsidR="0038264A" w:rsidRDefault="0038264A" w:rsidP="0038264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4C3127" wp14:editId="44068BF8">
          <wp:simplePos x="0" y="0"/>
          <wp:positionH relativeFrom="column">
            <wp:posOffset>628015</wp:posOffset>
          </wp:positionH>
          <wp:positionV relativeFrom="paragraph">
            <wp:posOffset>147320</wp:posOffset>
          </wp:positionV>
          <wp:extent cx="2987040" cy="255905"/>
          <wp:effectExtent l="0" t="0" r="3810" b="0"/>
          <wp:wrapTight wrapText="bothSides">
            <wp:wrapPolygon edited="0">
              <wp:start x="1102" y="0"/>
              <wp:lineTo x="827" y="8040"/>
              <wp:lineTo x="689" y="17687"/>
              <wp:lineTo x="827" y="19295"/>
              <wp:lineTo x="19837" y="19295"/>
              <wp:lineTo x="21214" y="17687"/>
              <wp:lineTo x="21490" y="14471"/>
              <wp:lineTo x="21490" y="0"/>
              <wp:lineTo x="1102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7040" cy="255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06CF8" w:rsidRDefault="0038264A" w:rsidP="0038264A">
    <w:pPr>
      <w:pStyle w:val="Header"/>
      <w:rPr>
        <w:rFonts w:ascii="Arial Rounded MT Bold" w:hAnsi="Arial Rounded MT Bold"/>
        <w:color w:val="1A4370"/>
        <w:sz w:val="28"/>
      </w:rPr>
    </w:pPr>
    <w:r>
      <w:t xml:space="preserve">                                                                                                                                                   </w:t>
    </w:r>
    <w:r w:rsidRPr="00B61EC0">
      <w:rPr>
        <w:rFonts w:ascii="Arial Rounded MT Bold" w:hAnsi="Arial Rounded MT Bold"/>
        <w:color w:val="1A4370"/>
        <w:sz w:val="28"/>
      </w:rPr>
      <w:t>DATA SHEET</w:t>
    </w:r>
  </w:p>
  <w:p w:rsidR="0038264A" w:rsidRDefault="0038264A" w:rsidP="0038264A">
    <w:pPr>
      <w:pStyle w:val="Header"/>
    </w:pPr>
  </w:p>
  <w:p w:rsidR="0038264A" w:rsidRDefault="0038264A" w:rsidP="003826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64E6E"/>
    <w:multiLevelType w:val="hybridMultilevel"/>
    <w:tmpl w:val="D826B61E"/>
    <w:lvl w:ilvl="0" w:tplc="80CC96E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016B0"/>
    <w:multiLevelType w:val="hybridMultilevel"/>
    <w:tmpl w:val="810E9880"/>
    <w:lvl w:ilvl="0" w:tplc="E5D6C6C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displayBackgroundShape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selectFldWithFirstOrLastChar/>
    <w:doNotWrapTextWithPunct/>
    <w:doNotUseEastAsianBreakRules/>
    <w:useWord2002TableStyleRules/>
    <w:growAutofit/>
    <w:compatSetting w:name="compatibilityMode" w:uri="http://schemas.microsoft.com/office/word" w:val="14"/>
  </w:compat>
  <w:rsids>
    <w:rsidRoot w:val="001D2124"/>
    <w:rsid w:val="00000FA3"/>
    <w:rsid w:val="00001800"/>
    <w:rsid w:val="00001B2E"/>
    <w:rsid w:val="000030DA"/>
    <w:rsid w:val="0000373F"/>
    <w:rsid w:val="00003A8E"/>
    <w:rsid w:val="00004028"/>
    <w:rsid w:val="000078FF"/>
    <w:rsid w:val="00007F1C"/>
    <w:rsid w:val="00011ED0"/>
    <w:rsid w:val="00012E51"/>
    <w:rsid w:val="00014A6C"/>
    <w:rsid w:val="0001523B"/>
    <w:rsid w:val="000172B4"/>
    <w:rsid w:val="00017E7C"/>
    <w:rsid w:val="0002463E"/>
    <w:rsid w:val="000267D4"/>
    <w:rsid w:val="0003062C"/>
    <w:rsid w:val="00031B95"/>
    <w:rsid w:val="00034356"/>
    <w:rsid w:val="0003452B"/>
    <w:rsid w:val="000354A4"/>
    <w:rsid w:val="000371CF"/>
    <w:rsid w:val="00037DBB"/>
    <w:rsid w:val="00037F91"/>
    <w:rsid w:val="000404B5"/>
    <w:rsid w:val="00040813"/>
    <w:rsid w:val="000427C8"/>
    <w:rsid w:val="0004463F"/>
    <w:rsid w:val="00047ABA"/>
    <w:rsid w:val="000508F7"/>
    <w:rsid w:val="0005284E"/>
    <w:rsid w:val="00053D61"/>
    <w:rsid w:val="00060180"/>
    <w:rsid w:val="00061D20"/>
    <w:rsid w:val="000647D4"/>
    <w:rsid w:val="000650C3"/>
    <w:rsid w:val="00066F40"/>
    <w:rsid w:val="00071C46"/>
    <w:rsid w:val="0007288B"/>
    <w:rsid w:val="00073A8B"/>
    <w:rsid w:val="00074633"/>
    <w:rsid w:val="0007733D"/>
    <w:rsid w:val="00083D0F"/>
    <w:rsid w:val="000841B6"/>
    <w:rsid w:val="00084200"/>
    <w:rsid w:val="000846DE"/>
    <w:rsid w:val="00085DDC"/>
    <w:rsid w:val="00086E45"/>
    <w:rsid w:val="00092198"/>
    <w:rsid w:val="00092B05"/>
    <w:rsid w:val="000932DC"/>
    <w:rsid w:val="00096309"/>
    <w:rsid w:val="000972EA"/>
    <w:rsid w:val="000A7A89"/>
    <w:rsid w:val="000B0FE9"/>
    <w:rsid w:val="000B1E94"/>
    <w:rsid w:val="000B52AF"/>
    <w:rsid w:val="000B6BA5"/>
    <w:rsid w:val="000B7BB6"/>
    <w:rsid w:val="000C0F1B"/>
    <w:rsid w:val="000C25EC"/>
    <w:rsid w:val="000C2907"/>
    <w:rsid w:val="000C37B8"/>
    <w:rsid w:val="000C5938"/>
    <w:rsid w:val="000C787B"/>
    <w:rsid w:val="000C79C8"/>
    <w:rsid w:val="000D1B25"/>
    <w:rsid w:val="000D2BA4"/>
    <w:rsid w:val="000D3871"/>
    <w:rsid w:val="000D62E2"/>
    <w:rsid w:val="000D7539"/>
    <w:rsid w:val="000D7598"/>
    <w:rsid w:val="000E0CA8"/>
    <w:rsid w:val="000E2D20"/>
    <w:rsid w:val="000E49D7"/>
    <w:rsid w:val="000E60F7"/>
    <w:rsid w:val="000E65C6"/>
    <w:rsid w:val="000F036F"/>
    <w:rsid w:val="000F1510"/>
    <w:rsid w:val="000F1909"/>
    <w:rsid w:val="000F1EAD"/>
    <w:rsid w:val="000F2E27"/>
    <w:rsid w:val="000F4704"/>
    <w:rsid w:val="000F4BAB"/>
    <w:rsid w:val="000F5BA1"/>
    <w:rsid w:val="000F756B"/>
    <w:rsid w:val="001023F1"/>
    <w:rsid w:val="0010380D"/>
    <w:rsid w:val="00103E3B"/>
    <w:rsid w:val="001048A5"/>
    <w:rsid w:val="001061C5"/>
    <w:rsid w:val="001062EB"/>
    <w:rsid w:val="00107A34"/>
    <w:rsid w:val="00111218"/>
    <w:rsid w:val="00116BAD"/>
    <w:rsid w:val="0011740E"/>
    <w:rsid w:val="001178F4"/>
    <w:rsid w:val="00124AF4"/>
    <w:rsid w:val="00125235"/>
    <w:rsid w:val="00126FDD"/>
    <w:rsid w:val="0013096F"/>
    <w:rsid w:val="00130DF9"/>
    <w:rsid w:val="00132A37"/>
    <w:rsid w:val="00133E23"/>
    <w:rsid w:val="00134DF3"/>
    <w:rsid w:val="00136196"/>
    <w:rsid w:val="00137511"/>
    <w:rsid w:val="001413DE"/>
    <w:rsid w:val="001428D3"/>
    <w:rsid w:val="001431AF"/>
    <w:rsid w:val="00147666"/>
    <w:rsid w:val="00153565"/>
    <w:rsid w:val="0015519E"/>
    <w:rsid w:val="00160194"/>
    <w:rsid w:val="00163A4E"/>
    <w:rsid w:val="00163A70"/>
    <w:rsid w:val="00164C0E"/>
    <w:rsid w:val="001661B4"/>
    <w:rsid w:val="001664AA"/>
    <w:rsid w:val="00172FA2"/>
    <w:rsid w:val="001750F4"/>
    <w:rsid w:val="00175C0E"/>
    <w:rsid w:val="001779D2"/>
    <w:rsid w:val="001832D6"/>
    <w:rsid w:val="00183EDB"/>
    <w:rsid w:val="00187425"/>
    <w:rsid w:val="001919D1"/>
    <w:rsid w:val="0019301B"/>
    <w:rsid w:val="0019762A"/>
    <w:rsid w:val="001A014E"/>
    <w:rsid w:val="001A027D"/>
    <w:rsid w:val="001A0F50"/>
    <w:rsid w:val="001A1843"/>
    <w:rsid w:val="001A2D7C"/>
    <w:rsid w:val="001A6012"/>
    <w:rsid w:val="001A74A3"/>
    <w:rsid w:val="001A7EFE"/>
    <w:rsid w:val="001B02E0"/>
    <w:rsid w:val="001B0A08"/>
    <w:rsid w:val="001B29E7"/>
    <w:rsid w:val="001B38AA"/>
    <w:rsid w:val="001B5BEF"/>
    <w:rsid w:val="001B7AD4"/>
    <w:rsid w:val="001B7FC3"/>
    <w:rsid w:val="001C2545"/>
    <w:rsid w:val="001C6001"/>
    <w:rsid w:val="001D16E3"/>
    <w:rsid w:val="001D2124"/>
    <w:rsid w:val="001D2216"/>
    <w:rsid w:val="001D27D3"/>
    <w:rsid w:val="001E1D9D"/>
    <w:rsid w:val="001E31D9"/>
    <w:rsid w:val="001E3D26"/>
    <w:rsid w:val="001E4534"/>
    <w:rsid w:val="001E5410"/>
    <w:rsid w:val="001F0667"/>
    <w:rsid w:val="001F1B90"/>
    <w:rsid w:val="001F2A83"/>
    <w:rsid w:val="001F54ED"/>
    <w:rsid w:val="001F70F7"/>
    <w:rsid w:val="00202220"/>
    <w:rsid w:val="00204408"/>
    <w:rsid w:val="00205951"/>
    <w:rsid w:val="002062F6"/>
    <w:rsid w:val="00206E69"/>
    <w:rsid w:val="002111BC"/>
    <w:rsid w:val="00211A6A"/>
    <w:rsid w:val="00211C3E"/>
    <w:rsid w:val="00213E3E"/>
    <w:rsid w:val="00215F33"/>
    <w:rsid w:val="0021702A"/>
    <w:rsid w:val="00220D46"/>
    <w:rsid w:val="00221A8E"/>
    <w:rsid w:val="00226726"/>
    <w:rsid w:val="00227701"/>
    <w:rsid w:val="00227A18"/>
    <w:rsid w:val="00230CD1"/>
    <w:rsid w:val="0023359A"/>
    <w:rsid w:val="00237EE5"/>
    <w:rsid w:val="00240C5B"/>
    <w:rsid w:val="00242030"/>
    <w:rsid w:val="00242A23"/>
    <w:rsid w:val="002433A7"/>
    <w:rsid w:val="0024489C"/>
    <w:rsid w:val="0024565F"/>
    <w:rsid w:val="00247470"/>
    <w:rsid w:val="00250A4A"/>
    <w:rsid w:val="00250B00"/>
    <w:rsid w:val="00256895"/>
    <w:rsid w:val="002568BE"/>
    <w:rsid w:val="00260CB3"/>
    <w:rsid w:val="00264F28"/>
    <w:rsid w:val="00264FC2"/>
    <w:rsid w:val="00265D1F"/>
    <w:rsid w:val="0026662E"/>
    <w:rsid w:val="002671EE"/>
    <w:rsid w:val="002754C0"/>
    <w:rsid w:val="0027678C"/>
    <w:rsid w:val="002808F5"/>
    <w:rsid w:val="002827D7"/>
    <w:rsid w:val="00285D18"/>
    <w:rsid w:val="00286169"/>
    <w:rsid w:val="0028691A"/>
    <w:rsid w:val="00286D48"/>
    <w:rsid w:val="00286EB0"/>
    <w:rsid w:val="00287CB8"/>
    <w:rsid w:val="002908AC"/>
    <w:rsid w:val="0029127F"/>
    <w:rsid w:val="00291DE1"/>
    <w:rsid w:val="00292E08"/>
    <w:rsid w:val="00296D9E"/>
    <w:rsid w:val="002A07C0"/>
    <w:rsid w:val="002A0C95"/>
    <w:rsid w:val="002A11D6"/>
    <w:rsid w:val="002A247D"/>
    <w:rsid w:val="002A6B82"/>
    <w:rsid w:val="002A6E3E"/>
    <w:rsid w:val="002B26CD"/>
    <w:rsid w:val="002B3765"/>
    <w:rsid w:val="002B5EFC"/>
    <w:rsid w:val="002B7B8A"/>
    <w:rsid w:val="002B7D24"/>
    <w:rsid w:val="002C0025"/>
    <w:rsid w:val="002C2E88"/>
    <w:rsid w:val="002C2F1A"/>
    <w:rsid w:val="002C6022"/>
    <w:rsid w:val="002D2769"/>
    <w:rsid w:val="002D3942"/>
    <w:rsid w:val="002D645C"/>
    <w:rsid w:val="002E0B90"/>
    <w:rsid w:val="002E0FDB"/>
    <w:rsid w:val="002E16E9"/>
    <w:rsid w:val="002E3232"/>
    <w:rsid w:val="002E4600"/>
    <w:rsid w:val="002E5E0B"/>
    <w:rsid w:val="002E6676"/>
    <w:rsid w:val="002E6B66"/>
    <w:rsid w:val="002E6FF6"/>
    <w:rsid w:val="002F0068"/>
    <w:rsid w:val="002F1FF7"/>
    <w:rsid w:val="002F2C86"/>
    <w:rsid w:val="002F2E26"/>
    <w:rsid w:val="002F36BB"/>
    <w:rsid w:val="002F4610"/>
    <w:rsid w:val="002F5583"/>
    <w:rsid w:val="002F5909"/>
    <w:rsid w:val="002F5E62"/>
    <w:rsid w:val="003045D4"/>
    <w:rsid w:val="00305564"/>
    <w:rsid w:val="00305662"/>
    <w:rsid w:val="00305700"/>
    <w:rsid w:val="00307589"/>
    <w:rsid w:val="00307835"/>
    <w:rsid w:val="00307FE3"/>
    <w:rsid w:val="003100FC"/>
    <w:rsid w:val="00313E13"/>
    <w:rsid w:val="0031624E"/>
    <w:rsid w:val="0031675C"/>
    <w:rsid w:val="00316C1B"/>
    <w:rsid w:val="0032171E"/>
    <w:rsid w:val="00322027"/>
    <w:rsid w:val="00322307"/>
    <w:rsid w:val="00322B00"/>
    <w:rsid w:val="0032523D"/>
    <w:rsid w:val="003316E3"/>
    <w:rsid w:val="00331974"/>
    <w:rsid w:val="00331DD2"/>
    <w:rsid w:val="00334014"/>
    <w:rsid w:val="0033445D"/>
    <w:rsid w:val="003351BD"/>
    <w:rsid w:val="00340D34"/>
    <w:rsid w:val="00342427"/>
    <w:rsid w:val="003425C8"/>
    <w:rsid w:val="00343921"/>
    <w:rsid w:val="003448DF"/>
    <w:rsid w:val="00344E2B"/>
    <w:rsid w:val="0035175C"/>
    <w:rsid w:val="00362DFC"/>
    <w:rsid w:val="00365FF2"/>
    <w:rsid w:val="00370ECB"/>
    <w:rsid w:val="00374D7B"/>
    <w:rsid w:val="00375573"/>
    <w:rsid w:val="00375A43"/>
    <w:rsid w:val="00377C8C"/>
    <w:rsid w:val="0038264A"/>
    <w:rsid w:val="003836E7"/>
    <w:rsid w:val="00383A35"/>
    <w:rsid w:val="00386A19"/>
    <w:rsid w:val="003901DF"/>
    <w:rsid w:val="00393267"/>
    <w:rsid w:val="00396465"/>
    <w:rsid w:val="00396D44"/>
    <w:rsid w:val="003A0A85"/>
    <w:rsid w:val="003A1CD2"/>
    <w:rsid w:val="003A2FDE"/>
    <w:rsid w:val="003A355D"/>
    <w:rsid w:val="003A7AFB"/>
    <w:rsid w:val="003B1A35"/>
    <w:rsid w:val="003B38E0"/>
    <w:rsid w:val="003C113D"/>
    <w:rsid w:val="003C23FC"/>
    <w:rsid w:val="003C5404"/>
    <w:rsid w:val="003C5EBB"/>
    <w:rsid w:val="003D1F34"/>
    <w:rsid w:val="003D20DA"/>
    <w:rsid w:val="003D4D01"/>
    <w:rsid w:val="003D58A2"/>
    <w:rsid w:val="003D6510"/>
    <w:rsid w:val="003E70D9"/>
    <w:rsid w:val="003F22B0"/>
    <w:rsid w:val="003F22BA"/>
    <w:rsid w:val="003F3898"/>
    <w:rsid w:val="003F57A3"/>
    <w:rsid w:val="00400241"/>
    <w:rsid w:val="0040294A"/>
    <w:rsid w:val="00403459"/>
    <w:rsid w:val="00403ADD"/>
    <w:rsid w:val="00403C27"/>
    <w:rsid w:val="00404E30"/>
    <w:rsid w:val="0040703D"/>
    <w:rsid w:val="00411E3B"/>
    <w:rsid w:val="00415412"/>
    <w:rsid w:val="00415DFD"/>
    <w:rsid w:val="0041710F"/>
    <w:rsid w:val="00422E04"/>
    <w:rsid w:val="00423293"/>
    <w:rsid w:val="00430C18"/>
    <w:rsid w:val="0043190D"/>
    <w:rsid w:val="0043352E"/>
    <w:rsid w:val="00440BB7"/>
    <w:rsid w:val="00441B30"/>
    <w:rsid w:val="0044335E"/>
    <w:rsid w:val="004445B0"/>
    <w:rsid w:val="00444BAE"/>
    <w:rsid w:val="00445416"/>
    <w:rsid w:val="004502AA"/>
    <w:rsid w:val="00456707"/>
    <w:rsid w:val="0046129B"/>
    <w:rsid w:val="00461875"/>
    <w:rsid w:val="00463E41"/>
    <w:rsid w:val="00473CC4"/>
    <w:rsid w:val="0047514D"/>
    <w:rsid w:val="004758D4"/>
    <w:rsid w:val="0047594D"/>
    <w:rsid w:val="00477AD7"/>
    <w:rsid w:val="00483629"/>
    <w:rsid w:val="00485BB7"/>
    <w:rsid w:val="00487CD7"/>
    <w:rsid w:val="00491680"/>
    <w:rsid w:val="00491AB6"/>
    <w:rsid w:val="0049630B"/>
    <w:rsid w:val="00497C38"/>
    <w:rsid w:val="004A0EE2"/>
    <w:rsid w:val="004A1218"/>
    <w:rsid w:val="004A29F4"/>
    <w:rsid w:val="004A2DF8"/>
    <w:rsid w:val="004A344F"/>
    <w:rsid w:val="004A401B"/>
    <w:rsid w:val="004A5434"/>
    <w:rsid w:val="004A560B"/>
    <w:rsid w:val="004A6ACF"/>
    <w:rsid w:val="004A74AE"/>
    <w:rsid w:val="004A7692"/>
    <w:rsid w:val="004A7FF3"/>
    <w:rsid w:val="004B050A"/>
    <w:rsid w:val="004B138B"/>
    <w:rsid w:val="004B2D2F"/>
    <w:rsid w:val="004B5ED2"/>
    <w:rsid w:val="004B7413"/>
    <w:rsid w:val="004B7E6F"/>
    <w:rsid w:val="004C0BD2"/>
    <w:rsid w:val="004C1986"/>
    <w:rsid w:val="004C2D85"/>
    <w:rsid w:val="004C35D5"/>
    <w:rsid w:val="004C7DEA"/>
    <w:rsid w:val="004D06E7"/>
    <w:rsid w:val="004D0896"/>
    <w:rsid w:val="004D1321"/>
    <w:rsid w:val="004D210F"/>
    <w:rsid w:val="004D33CE"/>
    <w:rsid w:val="004D472B"/>
    <w:rsid w:val="004D530C"/>
    <w:rsid w:val="004D6E92"/>
    <w:rsid w:val="004D7D47"/>
    <w:rsid w:val="004E05B3"/>
    <w:rsid w:val="004E07E0"/>
    <w:rsid w:val="004E3E57"/>
    <w:rsid w:val="004E7F5F"/>
    <w:rsid w:val="004F1A90"/>
    <w:rsid w:val="004F46E9"/>
    <w:rsid w:val="004F46F5"/>
    <w:rsid w:val="004F5120"/>
    <w:rsid w:val="004F5247"/>
    <w:rsid w:val="004F5C42"/>
    <w:rsid w:val="004F5E5A"/>
    <w:rsid w:val="00500F63"/>
    <w:rsid w:val="00511D55"/>
    <w:rsid w:val="005146A3"/>
    <w:rsid w:val="00514E23"/>
    <w:rsid w:val="00514E5A"/>
    <w:rsid w:val="005153F1"/>
    <w:rsid w:val="00517AE3"/>
    <w:rsid w:val="0052167F"/>
    <w:rsid w:val="005225EF"/>
    <w:rsid w:val="005235B4"/>
    <w:rsid w:val="0052480E"/>
    <w:rsid w:val="00524A4B"/>
    <w:rsid w:val="00524ABD"/>
    <w:rsid w:val="00524D5E"/>
    <w:rsid w:val="005270A3"/>
    <w:rsid w:val="00532DD9"/>
    <w:rsid w:val="00532E42"/>
    <w:rsid w:val="00533EDE"/>
    <w:rsid w:val="00537B01"/>
    <w:rsid w:val="00541D24"/>
    <w:rsid w:val="00543A06"/>
    <w:rsid w:val="00543B03"/>
    <w:rsid w:val="005441DC"/>
    <w:rsid w:val="00544B1C"/>
    <w:rsid w:val="005479D2"/>
    <w:rsid w:val="0055060B"/>
    <w:rsid w:val="00551518"/>
    <w:rsid w:val="00551CE8"/>
    <w:rsid w:val="00552567"/>
    <w:rsid w:val="00553E84"/>
    <w:rsid w:val="00557835"/>
    <w:rsid w:val="005613DC"/>
    <w:rsid w:val="00563D5F"/>
    <w:rsid w:val="00564147"/>
    <w:rsid w:val="005657EE"/>
    <w:rsid w:val="005660F3"/>
    <w:rsid w:val="00571496"/>
    <w:rsid w:val="0057462E"/>
    <w:rsid w:val="00575AB4"/>
    <w:rsid w:val="00575BBB"/>
    <w:rsid w:val="005822F1"/>
    <w:rsid w:val="005824CD"/>
    <w:rsid w:val="00585908"/>
    <w:rsid w:val="00587CC5"/>
    <w:rsid w:val="00590EFC"/>
    <w:rsid w:val="0059305E"/>
    <w:rsid w:val="005959FE"/>
    <w:rsid w:val="00595BAD"/>
    <w:rsid w:val="0059678D"/>
    <w:rsid w:val="005A0488"/>
    <w:rsid w:val="005A1CCF"/>
    <w:rsid w:val="005A23E3"/>
    <w:rsid w:val="005A3676"/>
    <w:rsid w:val="005A3B08"/>
    <w:rsid w:val="005A536C"/>
    <w:rsid w:val="005B22ED"/>
    <w:rsid w:val="005B4D19"/>
    <w:rsid w:val="005B6C37"/>
    <w:rsid w:val="005B78DC"/>
    <w:rsid w:val="005C17D4"/>
    <w:rsid w:val="005C1BAF"/>
    <w:rsid w:val="005C27D7"/>
    <w:rsid w:val="005C2BF9"/>
    <w:rsid w:val="005C3E3D"/>
    <w:rsid w:val="005D29E3"/>
    <w:rsid w:val="005D2D87"/>
    <w:rsid w:val="005D3FC0"/>
    <w:rsid w:val="005D481F"/>
    <w:rsid w:val="005E02E4"/>
    <w:rsid w:val="005E150C"/>
    <w:rsid w:val="005E2D2D"/>
    <w:rsid w:val="005E306E"/>
    <w:rsid w:val="005F03C7"/>
    <w:rsid w:val="005F3E22"/>
    <w:rsid w:val="005F4065"/>
    <w:rsid w:val="005F40DD"/>
    <w:rsid w:val="005F5DFF"/>
    <w:rsid w:val="006001A6"/>
    <w:rsid w:val="00603AAB"/>
    <w:rsid w:val="00612113"/>
    <w:rsid w:val="00614874"/>
    <w:rsid w:val="0061562F"/>
    <w:rsid w:val="00617E65"/>
    <w:rsid w:val="00620F91"/>
    <w:rsid w:val="00621717"/>
    <w:rsid w:val="0062184E"/>
    <w:rsid w:val="00626884"/>
    <w:rsid w:val="00630CD1"/>
    <w:rsid w:val="00631C35"/>
    <w:rsid w:val="00631D3B"/>
    <w:rsid w:val="00632CCB"/>
    <w:rsid w:val="00636863"/>
    <w:rsid w:val="00636FAF"/>
    <w:rsid w:val="0064169B"/>
    <w:rsid w:val="0064311A"/>
    <w:rsid w:val="006470AE"/>
    <w:rsid w:val="00647ED1"/>
    <w:rsid w:val="00650475"/>
    <w:rsid w:val="00655154"/>
    <w:rsid w:val="006554CE"/>
    <w:rsid w:val="00655E04"/>
    <w:rsid w:val="00656D66"/>
    <w:rsid w:val="006602AC"/>
    <w:rsid w:val="00661678"/>
    <w:rsid w:val="00664D69"/>
    <w:rsid w:val="00665390"/>
    <w:rsid w:val="00667EEE"/>
    <w:rsid w:val="006702A5"/>
    <w:rsid w:val="00673F93"/>
    <w:rsid w:val="00674678"/>
    <w:rsid w:val="00675FE9"/>
    <w:rsid w:val="006767A7"/>
    <w:rsid w:val="0067723C"/>
    <w:rsid w:val="00677FB0"/>
    <w:rsid w:val="006804B3"/>
    <w:rsid w:val="0068462D"/>
    <w:rsid w:val="006852FE"/>
    <w:rsid w:val="00685B95"/>
    <w:rsid w:val="00690A8E"/>
    <w:rsid w:val="0069502E"/>
    <w:rsid w:val="00695BF7"/>
    <w:rsid w:val="006965B0"/>
    <w:rsid w:val="006977A1"/>
    <w:rsid w:val="006A0877"/>
    <w:rsid w:val="006A2DC8"/>
    <w:rsid w:val="006A4472"/>
    <w:rsid w:val="006A5C74"/>
    <w:rsid w:val="006A5CA5"/>
    <w:rsid w:val="006B0E72"/>
    <w:rsid w:val="006B2146"/>
    <w:rsid w:val="006B2B67"/>
    <w:rsid w:val="006B5932"/>
    <w:rsid w:val="006B5D05"/>
    <w:rsid w:val="006C037F"/>
    <w:rsid w:val="006C4744"/>
    <w:rsid w:val="006C48EC"/>
    <w:rsid w:val="006C691F"/>
    <w:rsid w:val="006C6BD1"/>
    <w:rsid w:val="006C7D18"/>
    <w:rsid w:val="006D0EB3"/>
    <w:rsid w:val="006D108E"/>
    <w:rsid w:val="006D6AF3"/>
    <w:rsid w:val="006E0988"/>
    <w:rsid w:val="006E2E6F"/>
    <w:rsid w:val="006E55BE"/>
    <w:rsid w:val="006E5BD4"/>
    <w:rsid w:val="006F29FF"/>
    <w:rsid w:val="006F2CA2"/>
    <w:rsid w:val="006F4DAF"/>
    <w:rsid w:val="006F6449"/>
    <w:rsid w:val="006F6C0F"/>
    <w:rsid w:val="00700094"/>
    <w:rsid w:val="00700DFE"/>
    <w:rsid w:val="0070421D"/>
    <w:rsid w:val="00706307"/>
    <w:rsid w:val="00706960"/>
    <w:rsid w:val="00706CF8"/>
    <w:rsid w:val="00713ECB"/>
    <w:rsid w:val="007147CD"/>
    <w:rsid w:val="00724428"/>
    <w:rsid w:val="007251E1"/>
    <w:rsid w:val="00731793"/>
    <w:rsid w:val="00740110"/>
    <w:rsid w:val="00740150"/>
    <w:rsid w:val="007408AE"/>
    <w:rsid w:val="007416D4"/>
    <w:rsid w:val="00741CFF"/>
    <w:rsid w:val="00743275"/>
    <w:rsid w:val="0074463C"/>
    <w:rsid w:val="00746C25"/>
    <w:rsid w:val="00752367"/>
    <w:rsid w:val="00753E36"/>
    <w:rsid w:val="00756903"/>
    <w:rsid w:val="007601EB"/>
    <w:rsid w:val="00762236"/>
    <w:rsid w:val="00762CB9"/>
    <w:rsid w:val="00766138"/>
    <w:rsid w:val="00767D76"/>
    <w:rsid w:val="007710CF"/>
    <w:rsid w:val="007717F9"/>
    <w:rsid w:val="007732A6"/>
    <w:rsid w:val="00773FB9"/>
    <w:rsid w:val="00774ACB"/>
    <w:rsid w:val="007767E5"/>
    <w:rsid w:val="00777B31"/>
    <w:rsid w:val="00777E1C"/>
    <w:rsid w:val="007800DA"/>
    <w:rsid w:val="00780BE9"/>
    <w:rsid w:val="0078174F"/>
    <w:rsid w:val="0078227D"/>
    <w:rsid w:val="00782520"/>
    <w:rsid w:val="007836B5"/>
    <w:rsid w:val="0078768C"/>
    <w:rsid w:val="00787D1B"/>
    <w:rsid w:val="00790053"/>
    <w:rsid w:val="007900BE"/>
    <w:rsid w:val="00791DC1"/>
    <w:rsid w:val="00795988"/>
    <w:rsid w:val="0079638D"/>
    <w:rsid w:val="00796747"/>
    <w:rsid w:val="007A0816"/>
    <w:rsid w:val="007A413A"/>
    <w:rsid w:val="007A4CC5"/>
    <w:rsid w:val="007A7A49"/>
    <w:rsid w:val="007B04FA"/>
    <w:rsid w:val="007B1FA4"/>
    <w:rsid w:val="007B276A"/>
    <w:rsid w:val="007B5D7F"/>
    <w:rsid w:val="007B602C"/>
    <w:rsid w:val="007B7F57"/>
    <w:rsid w:val="007C0165"/>
    <w:rsid w:val="007C08CB"/>
    <w:rsid w:val="007C150A"/>
    <w:rsid w:val="007C1BFA"/>
    <w:rsid w:val="007C218C"/>
    <w:rsid w:val="007C28D9"/>
    <w:rsid w:val="007C37FE"/>
    <w:rsid w:val="007C4757"/>
    <w:rsid w:val="007C4A22"/>
    <w:rsid w:val="007C5322"/>
    <w:rsid w:val="007C55CD"/>
    <w:rsid w:val="007C5A46"/>
    <w:rsid w:val="007C6640"/>
    <w:rsid w:val="007C6F04"/>
    <w:rsid w:val="007D0999"/>
    <w:rsid w:val="007D1259"/>
    <w:rsid w:val="007D22B6"/>
    <w:rsid w:val="007D43FE"/>
    <w:rsid w:val="007D5E7D"/>
    <w:rsid w:val="007E28ED"/>
    <w:rsid w:val="007E4600"/>
    <w:rsid w:val="007E4874"/>
    <w:rsid w:val="007E7C34"/>
    <w:rsid w:val="007F109B"/>
    <w:rsid w:val="007F14BA"/>
    <w:rsid w:val="007F3B40"/>
    <w:rsid w:val="007F7018"/>
    <w:rsid w:val="007F7BCC"/>
    <w:rsid w:val="00803386"/>
    <w:rsid w:val="00803695"/>
    <w:rsid w:val="00811453"/>
    <w:rsid w:val="00813DEE"/>
    <w:rsid w:val="0081418A"/>
    <w:rsid w:val="008159CF"/>
    <w:rsid w:val="00815EA2"/>
    <w:rsid w:val="00817DDD"/>
    <w:rsid w:val="00821D55"/>
    <w:rsid w:val="008224DF"/>
    <w:rsid w:val="008243E6"/>
    <w:rsid w:val="00825D54"/>
    <w:rsid w:val="00826E84"/>
    <w:rsid w:val="0082721E"/>
    <w:rsid w:val="00831420"/>
    <w:rsid w:val="0083481A"/>
    <w:rsid w:val="008367FF"/>
    <w:rsid w:val="00841ACE"/>
    <w:rsid w:val="008423E7"/>
    <w:rsid w:val="008453D4"/>
    <w:rsid w:val="008468F1"/>
    <w:rsid w:val="00846AD9"/>
    <w:rsid w:val="00850134"/>
    <w:rsid w:val="0085030D"/>
    <w:rsid w:val="008504EA"/>
    <w:rsid w:val="00852B59"/>
    <w:rsid w:val="008554DF"/>
    <w:rsid w:val="00855B61"/>
    <w:rsid w:val="00857411"/>
    <w:rsid w:val="00861E05"/>
    <w:rsid w:val="0086346E"/>
    <w:rsid w:val="008673F7"/>
    <w:rsid w:val="008707F3"/>
    <w:rsid w:val="00871FFA"/>
    <w:rsid w:val="008827A0"/>
    <w:rsid w:val="00883412"/>
    <w:rsid w:val="00884222"/>
    <w:rsid w:val="00885399"/>
    <w:rsid w:val="00885CE3"/>
    <w:rsid w:val="00887A00"/>
    <w:rsid w:val="008901E2"/>
    <w:rsid w:val="00893159"/>
    <w:rsid w:val="00896632"/>
    <w:rsid w:val="0089691A"/>
    <w:rsid w:val="008A4D49"/>
    <w:rsid w:val="008A5BF9"/>
    <w:rsid w:val="008B59AB"/>
    <w:rsid w:val="008B5A6B"/>
    <w:rsid w:val="008C1B0B"/>
    <w:rsid w:val="008C1B1C"/>
    <w:rsid w:val="008C29EA"/>
    <w:rsid w:val="008C2A1F"/>
    <w:rsid w:val="008D331D"/>
    <w:rsid w:val="008D4140"/>
    <w:rsid w:val="008D4521"/>
    <w:rsid w:val="008D5B20"/>
    <w:rsid w:val="008E65A0"/>
    <w:rsid w:val="008E7693"/>
    <w:rsid w:val="008E7B8A"/>
    <w:rsid w:val="008F1308"/>
    <w:rsid w:val="008F48AE"/>
    <w:rsid w:val="008F6C28"/>
    <w:rsid w:val="008F739B"/>
    <w:rsid w:val="0090215C"/>
    <w:rsid w:val="00902E87"/>
    <w:rsid w:val="00903115"/>
    <w:rsid w:val="00905147"/>
    <w:rsid w:val="0090657A"/>
    <w:rsid w:val="009069E5"/>
    <w:rsid w:val="009106D2"/>
    <w:rsid w:val="009115BB"/>
    <w:rsid w:val="0091517B"/>
    <w:rsid w:val="00917279"/>
    <w:rsid w:val="00921FD6"/>
    <w:rsid w:val="00924245"/>
    <w:rsid w:val="00925DE7"/>
    <w:rsid w:val="009313C0"/>
    <w:rsid w:val="009331C0"/>
    <w:rsid w:val="00933881"/>
    <w:rsid w:val="009359FD"/>
    <w:rsid w:val="00937A4A"/>
    <w:rsid w:val="00941367"/>
    <w:rsid w:val="00944D9B"/>
    <w:rsid w:val="009519FB"/>
    <w:rsid w:val="00951F73"/>
    <w:rsid w:val="00952D51"/>
    <w:rsid w:val="00954E7F"/>
    <w:rsid w:val="00962738"/>
    <w:rsid w:val="00963CAA"/>
    <w:rsid w:val="009647B2"/>
    <w:rsid w:val="009648F6"/>
    <w:rsid w:val="00965023"/>
    <w:rsid w:val="00970399"/>
    <w:rsid w:val="009709D6"/>
    <w:rsid w:val="00970DFA"/>
    <w:rsid w:val="00970E7B"/>
    <w:rsid w:val="00977067"/>
    <w:rsid w:val="00977B33"/>
    <w:rsid w:val="009803D3"/>
    <w:rsid w:val="009807C7"/>
    <w:rsid w:val="009812ED"/>
    <w:rsid w:val="00981757"/>
    <w:rsid w:val="009848FF"/>
    <w:rsid w:val="009870A4"/>
    <w:rsid w:val="00987788"/>
    <w:rsid w:val="009906CF"/>
    <w:rsid w:val="00990DA8"/>
    <w:rsid w:val="009930CE"/>
    <w:rsid w:val="009944DF"/>
    <w:rsid w:val="00996417"/>
    <w:rsid w:val="009A04B8"/>
    <w:rsid w:val="009A6179"/>
    <w:rsid w:val="009A7F0B"/>
    <w:rsid w:val="009B0BC4"/>
    <w:rsid w:val="009B11E9"/>
    <w:rsid w:val="009B224D"/>
    <w:rsid w:val="009B2CD9"/>
    <w:rsid w:val="009B4A2F"/>
    <w:rsid w:val="009B4A70"/>
    <w:rsid w:val="009B60B3"/>
    <w:rsid w:val="009C0027"/>
    <w:rsid w:val="009C01FB"/>
    <w:rsid w:val="009C503A"/>
    <w:rsid w:val="009C798A"/>
    <w:rsid w:val="009D1B00"/>
    <w:rsid w:val="009D1C55"/>
    <w:rsid w:val="009D2CCC"/>
    <w:rsid w:val="009D3E79"/>
    <w:rsid w:val="009D432E"/>
    <w:rsid w:val="009D6F87"/>
    <w:rsid w:val="009D7349"/>
    <w:rsid w:val="009D74F2"/>
    <w:rsid w:val="009E0D35"/>
    <w:rsid w:val="009E1543"/>
    <w:rsid w:val="009E2A50"/>
    <w:rsid w:val="009E3189"/>
    <w:rsid w:val="009E4869"/>
    <w:rsid w:val="009E55D2"/>
    <w:rsid w:val="009E60FC"/>
    <w:rsid w:val="009E7F2F"/>
    <w:rsid w:val="009F0456"/>
    <w:rsid w:val="009F04DB"/>
    <w:rsid w:val="009F4DD6"/>
    <w:rsid w:val="009F5CF8"/>
    <w:rsid w:val="00A03934"/>
    <w:rsid w:val="00A04EE9"/>
    <w:rsid w:val="00A07F94"/>
    <w:rsid w:val="00A11573"/>
    <w:rsid w:val="00A1179C"/>
    <w:rsid w:val="00A13C98"/>
    <w:rsid w:val="00A1535D"/>
    <w:rsid w:val="00A17526"/>
    <w:rsid w:val="00A20999"/>
    <w:rsid w:val="00A2131E"/>
    <w:rsid w:val="00A324F2"/>
    <w:rsid w:val="00A35989"/>
    <w:rsid w:val="00A377B4"/>
    <w:rsid w:val="00A42451"/>
    <w:rsid w:val="00A46CB6"/>
    <w:rsid w:val="00A52302"/>
    <w:rsid w:val="00A62BE9"/>
    <w:rsid w:val="00A644F4"/>
    <w:rsid w:val="00A647A4"/>
    <w:rsid w:val="00A673BE"/>
    <w:rsid w:val="00A67752"/>
    <w:rsid w:val="00A70233"/>
    <w:rsid w:val="00A72B93"/>
    <w:rsid w:val="00A74707"/>
    <w:rsid w:val="00A77467"/>
    <w:rsid w:val="00A77FEE"/>
    <w:rsid w:val="00A80C6B"/>
    <w:rsid w:val="00A85C93"/>
    <w:rsid w:val="00A86AC9"/>
    <w:rsid w:val="00A86E90"/>
    <w:rsid w:val="00A93895"/>
    <w:rsid w:val="00A96D3D"/>
    <w:rsid w:val="00AA24CE"/>
    <w:rsid w:val="00AA2C01"/>
    <w:rsid w:val="00AA2E26"/>
    <w:rsid w:val="00AA7999"/>
    <w:rsid w:val="00AB0227"/>
    <w:rsid w:val="00AB02AB"/>
    <w:rsid w:val="00AB34A1"/>
    <w:rsid w:val="00AB4989"/>
    <w:rsid w:val="00AB552C"/>
    <w:rsid w:val="00AC11FA"/>
    <w:rsid w:val="00AC13EE"/>
    <w:rsid w:val="00AC709C"/>
    <w:rsid w:val="00AC77F3"/>
    <w:rsid w:val="00AD05E3"/>
    <w:rsid w:val="00AD0D02"/>
    <w:rsid w:val="00AD3C93"/>
    <w:rsid w:val="00AD47D2"/>
    <w:rsid w:val="00AD5234"/>
    <w:rsid w:val="00AD6626"/>
    <w:rsid w:val="00AD7EC3"/>
    <w:rsid w:val="00AE01C2"/>
    <w:rsid w:val="00AE03D2"/>
    <w:rsid w:val="00AE0F52"/>
    <w:rsid w:val="00AE5177"/>
    <w:rsid w:val="00AE5480"/>
    <w:rsid w:val="00AE79DC"/>
    <w:rsid w:val="00AE7D2B"/>
    <w:rsid w:val="00AF6647"/>
    <w:rsid w:val="00AF7183"/>
    <w:rsid w:val="00AF7B68"/>
    <w:rsid w:val="00AF7EA2"/>
    <w:rsid w:val="00B044FF"/>
    <w:rsid w:val="00B0467B"/>
    <w:rsid w:val="00B04953"/>
    <w:rsid w:val="00B058E6"/>
    <w:rsid w:val="00B10BB8"/>
    <w:rsid w:val="00B14074"/>
    <w:rsid w:val="00B15E72"/>
    <w:rsid w:val="00B20C8A"/>
    <w:rsid w:val="00B22752"/>
    <w:rsid w:val="00B23017"/>
    <w:rsid w:val="00B25E88"/>
    <w:rsid w:val="00B2642E"/>
    <w:rsid w:val="00B27998"/>
    <w:rsid w:val="00B32B43"/>
    <w:rsid w:val="00B3392C"/>
    <w:rsid w:val="00B33F5B"/>
    <w:rsid w:val="00B34F15"/>
    <w:rsid w:val="00B35F8A"/>
    <w:rsid w:val="00B41C66"/>
    <w:rsid w:val="00B42949"/>
    <w:rsid w:val="00B42A51"/>
    <w:rsid w:val="00B453ED"/>
    <w:rsid w:val="00B45457"/>
    <w:rsid w:val="00B473F0"/>
    <w:rsid w:val="00B478C1"/>
    <w:rsid w:val="00B530BD"/>
    <w:rsid w:val="00B555EC"/>
    <w:rsid w:val="00B561D3"/>
    <w:rsid w:val="00B562F8"/>
    <w:rsid w:val="00B60ECA"/>
    <w:rsid w:val="00B61E08"/>
    <w:rsid w:val="00B6588B"/>
    <w:rsid w:val="00B70B6E"/>
    <w:rsid w:val="00B7209B"/>
    <w:rsid w:val="00B72DB7"/>
    <w:rsid w:val="00B739BD"/>
    <w:rsid w:val="00B73FED"/>
    <w:rsid w:val="00B7660B"/>
    <w:rsid w:val="00B76F11"/>
    <w:rsid w:val="00B77038"/>
    <w:rsid w:val="00B804FC"/>
    <w:rsid w:val="00B828AA"/>
    <w:rsid w:val="00B849B1"/>
    <w:rsid w:val="00B85CCB"/>
    <w:rsid w:val="00B865DA"/>
    <w:rsid w:val="00B92EE0"/>
    <w:rsid w:val="00B934C6"/>
    <w:rsid w:val="00B93923"/>
    <w:rsid w:val="00B94027"/>
    <w:rsid w:val="00B943CC"/>
    <w:rsid w:val="00BA185D"/>
    <w:rsid w:val="00BB0245"/>
    <w:rsid w:val="00BB1996"/>
    <w:rsid w:val="00BB4B6E"/>
    <w:rsid w:val="00BB5FBD"/>
    <w:rsid w:val="00BB5FD1"/>
    <w:rsid w:val="00BB64C8"/>
    <w:rsid w:val="00BC17F5"/>
    <w:rsid w:val="00BC1D33"/>
    <w:rsid w:val="00BC2D62"/>
    <w:rsid w:val="00BD013F"/>
    <w:rsid w:val="00BD11CF"/>
    <w:rsid w:val="00BD37A3"/>
    <w:rsid w:val="00BD4DDB"/>
    <w:rsid w:val="00BD52BD"/>
    <w:rsid w:val="00BE07D1"/>
    <w:rsid w:val="00BE3829"/>
    <w:rsid w:val="00BF0201"/>
    <w:rsid w:val="00BF0DAF"/>
    <w:rsid w:val="00BF126F"/>
    <w:rsid w:val="00BF1564"/>
    <w:rsid w:val="00BF31D9"/>
    <w:rsid w:val="00BF73F0"/>
    <w:rsid w:val="00C0509C"/>
    <w:rsid w:val="00C06098"/>
    <w:rsid w:val="00C06CC1"/>
    <w:rsid w:val="00C100D0"/>
    <w:rsid w:val="00C11BEC"/>
    <w:rsid w:val="00C127C9"/>
    <w:rsid w:val="00C1468F"/>
    <w:rsid w:val="00C17C6D"/>
    <w:rsid w:val="00C22DED"/>
    <w:rsid w:val="00C23648"/>
    <w:rsid w:val="00C2444C"/>
    <w:rsid w:val="00C27123"/>
    <w:rsid w:val="00C27BB9"/>
    <w:rsid w:val="00C32BA2"/>
    <w:rsid w:val="00C33B94"/>
    <w:rsid w:val="00C35D4E"/>
    <w:rsid w:val="00C37278"/>
    <w:rsid w:val="00C41468"/>
    <w:rsid w:val="00C42199"/>
    <w:rsid w:val="00C44116"/>
    <w:rsid w:val="00C4416E"/>
    <w:rsid w:val="00C4514C"/>
    <w:rsid w:val="00C456A3"/>
    <w:rsid w:val="00C45B7A"/>
    <w:rsid w:val="00C466F8"/>
    <w:rsid w:val="00C47249"/>
    <w:rsid w:val="00C50081"/>
    <w:rsid w:val="00C50AB0"/>
    <w:rsid w:val="00C5296D"/>
    <w:rsid w:val="00C5302F"/>
    <w:rsid w:val="00C53645"/>
    <w:rsid w:val="00C544E0"/>
    <w:rsid w:val="00C566D5"/>
    <w:rsid w:val="00C61376"/>
    <w:rsid w:val="00C61DB8"/>
    <w:rsid w:val="00C65CC2"/>
    <w:rsid w:val="00C661D1"/>
    <w:rsid w:val="00C67447"/>
    <w:rsid w:val="00C6791B"/>
    <w:rsid w:val="00C67FB0"/>
    <w:rsid w:val="00C71F1E"/>
    <w:rsid w:val="00C72102"/>
    <w:rsid w:val="00C72457"/>
    <w:rsid w:val="00C75242"/>
    <w:rsid w:val="00C76A54"/>
    <w:rsid w:val="00C811B6"/>
    <w:rsid w:val="00C84B93"/>
    <w:rsid w:val="00C85485"/>
    <w:rsid w:val="00C85767"/>
    <w:rsid w:val="00C85D87"/>
    <w:rsid w:val="00C87C51"/>
    <w:rsid w:val="00C90E23"/>
    <w:rsid w:val="00C9158E"/>
    <w:rsid w:val="00C91813"/>
    <w:rsid w:val="00C9322E"/>
    <w:rsid w:val="00C937EE"/>
    <w:rsid w:val="00C93D50"/>
    <w:rsid w:val="00C97065"/>
    <w:rsid w:val="00CA1E13"/>
    <w:rsid w:val="00CA2E57"/>
    <w:rsid w:val="00CA43EC"/>
    <w:rsid w:val="00CA56E2"/>
    <w:rsid w:val="00CA7C2B"/>
    <w:rsid w:val="00CB1390"/>
    <w:rsid w:val="00CB1699"/>
    <w:rsid w:val="00CB4581"/>
    <w:rsid w:val="00CB5C06"/>
    <w:rsid w:val="00CB6EDA"/>
    <w:rsid w:val="00CC50ED"/>
    <w:rsid w:val="00CC5365"/>
    <w:rsid w:val="00CC7FCF"/>
    <w:rsid w:val="00CD06C0"/>
    <w:rsid w:val="00CD26E9"/>
    <w:rsid w:val="00CD40AF"/>
    <w:rsid w:val="00CD4A8E"/>
    <w:rsid w:val="00CD4B18"/>
    <w:rsid w:val="00CD4E8E"/>
    <w:rsid w:val="00CD6EE6"/>
    <w:rsid w:val="00CD71AF"/>
    <w:rsid w:val="00CD73A4"/>
    <w:rsid w:val="00CD743D"/>
    <w:rsid w:val="00CE17EE"/>
    <w:rsid w:val="00CE3434"/>
    <w:rsid w:val="00CE541A"/>
    <w:rsid w:val="00CE546C"/>
    <w:rsid w:val="00CF0A68"/>
    <w:rsid w:val="00CF1DDF"/>
    <w:rsid w:val="00CF242A"/>
    <w:rsid w:val="00CF247B"/>
    <w:rsid w:val="00CF284F"/>
    <w:rsid w:val="00CF41C5"/>
    <w:rsid w:val="00CF487F"/>
    <w:rsid w:val="00CF5456"/>
    <w:rsid w:val="00CF54F6"/>
    <w:rsid w:val="00D06614"/>
    <w:rsid w:val="00D0754C"/>
    <w:rsid w:val="00D10173"/>
    <w:rsid w:val="00D10591"/>
    <w:rsid w:val="00D117B5"/>
    <w:rsid w:val="00D1417E"/>
    <w:rsid w:val="00D1640C"/>
    <w:rsid w:val="00D17F8D"/>
    <w:rsid w:val="00D20E57"/>
    <w:rsid w:val="00D2359F"/>
    <w:rsid w:val="00D266DB"/>
    <w:rsid w:val="00D32164"/>
    <w:rsid w:val="00D32827"/>
    <w:rsid w:val="00D328E1"/>
    <w:rsid w:val="00D32CF2"/>
    <w:rsid w:val="00D34983"/>
    <w:rsid w:val="00D34B6F"/>
    <w:rsid w:val="00D34B8B"/>
    <w:rsid w:val="00D356B1"/>
    <w:rsid w:val="00D35FF3"/>
    <w:rsid w:val="00D362E4"/>
    <w:rsid w:val="00D40438"/>
    <w:rsid w:val="00D42062"/>
    <w:rsid w:val="00D42742"/>
    <w:rsid w:val="00D448A9"/>
    <w:rsid w:val="00D44CCC"/>
    <w:rsid w:val="00D508C2"/>
    <w:rsid w:val="00D50B45"/>
    <w:rsid w:val="00D51F40"/>
    <w:rsid w:val="00D51FAE"/>
    <w:rsid w:val="00D53782"/>
    <w:rsid w:val="00D55CF2"/>
    <w:rsid w:val="00D55E78"/>
    <w:rsid w:val="00D56B90"/>
    <w:rsid w:val="00D56E7A"/>
    <w:rsid w:val="00D632D7"/>
    <w:rsid w:val="00D6483C"/>
    <w:rsid w:val="00D70C27"/>
    <w:rsid w:val="00D72811"/>
    <w:rsid w:val="00D739AF"/>
    <w:rsid w:val="00D748C4"/>
    <w:rsid w:val="00D807DC"/>
    <w:rsid w:val="00D82AFF"/>
    <w:rsid w:val="00D86CD4"/>
    <w:rsid w:val="00D90751"/>
    <w:rsid w:val="00D93BEB"/>
    <w:rsid w:val="00D95294"/>
    <w:rsid w:val="00D96D09"/>
    <w:rsid w:val="00DA085B"/>
    <w:rsid w:val="00DA2E25"/>
    <w:rsid w:val="00DA2E2C"/>
    <w:rsid w:val="00DA53D3"/>
    <w:rsid w:val="00DA5554"/>
    <w:rsid w:val="00DA7329"/>
    <w:rsid w:val="00DA734F"/>
    <w:rsid w:val="00DA7983"/>
    <w:rsid w:val="00DA7B96"/>
    <w:rsid w:val="00DB0DDE"/>
    <w:rsid w:val="00DB1B7A"/>
    <w:rsid w:val="00DB1D4C"/>
    <w:rsid w:val="00DB3912"/>
    <w:rsid w:val="00DB7C47"/>
    <w:rsid w:val="00DC0522"/>
    <w:rsid w:val="00DC0B2D"/>
    <w:rsid w:val="00DC1AD5"/>
    <w:rsid w:val="00DC1D82"/>
    <w:rsid w:val="00DC1ED7"/>
    <w:rsid w:val="00DC2056"/>
    <w:rsid w:val="00DC34F1"/>
    <w:rsid w:val="00DD0F8D"/>
    <w:rsid w:val="00DD4FF7"/>
    <w:rsid w:val="00DD50E9"/>
    <w:rsid w:val="00DD641D"/>
    <w:rsid w:val="00DE242B"/>
    <w:rsid w:val="00DE3458"/>
    <w:rsid w:val="00DE396E"/>
    <w:rsid w:val="00DE4428"/>
    <w:rsid w:val="00DE6740"/>
    <w:rsid w:val="00DF25F1"/>
    <w:rsid w:val="00DF482A"/>
    <w:rsid w:val="00DF516A"/>
    <w:rsid w:val="00DF545A"/>
    <w:rsid w:val="00DF5A08"/>
    <w:rsid w:val="00DF6F65"/>
    <w:rsid w:val="00E02756"/>
    <w:rsid w:val="00E03755"/>
    <w:rsid w:val="00E03A95"/>
    <w:rsid w:val="00E03C52"/>
    <w:rsid w:val="00E04F06"/>
    <w:rsid w:val="00E075E6"/>
    <w:rsid w:val="00E11506"/>
    <w:rsid w:val="00E115AE"/>
    <w:rsid w:val="00E117D6"/>
    <w:rsid w:val="00E13B3F"/>
    <w:rsid w:val="00E1489D"/>
    <w:rsid w:val="00E208D7"/>
    <w:rsid w:val="00E21F31"/>
    <w:rsid w:val="00E2605D"/>
    <w:rsid w:val="00E2673A"/>
    <w:rsid w:val="00E3006E"/>
    <w:rsid w:val="00E35798"/>
    <w:rsid w:val="00E369B8"/>
    <w:rsid w:val="00E4152F"/>
    <w:rsid w:val="00E417C0"/>
    <w:rsid w:val="00E4321F"/>
    <w:rsid w:val="00E45BF3"/>
    <w:rsid w:val="00E47332"/>
    <w:rsid w:val="00E504A8"/>
    <w:rsid w:val="00E50724"/>
    <w:rsid w:val="00E5139B"/>
    <w:rsid w:val="00E51D53"/>
    <w:rsid w:val="00E5295E"/>
    <w:rsid w:val="00E56262"/>
    <w:rsid w:val="00E577A0"/>
    <w:rsid w:val="00E65DB8"/>
    <w:rsid w:val="00E679D5"/>
    <w:rsid w:val="00E70E60"/>
    <w:rsid w:val="00E716BF"/>
    <w:rsid w:val="00E71EA4"/>
    <w:rsid w:val="00E818EC"/>
    <w:rsid w:val="00E81F78"/>
    <w:rsid w:val="00E82214"/>
    <w:rsid w:val="00E83817"/>
    <w:rsid w:val="00E83E96"/>
    <w:rsid w:val="00E84424"/>
    <w:rsid w:val="00E84501"/>
    <w:rsid w:val="00E85C46"/>
    <w:rsid w:val="00E8657B"/>
    <w:rsid w:val="00E87532"/>
    <w:rsid w:val="00E93142"/>
    <w:rsid w:val="00E9424F"/>
    <w:rsid w:val="00E95EDF"/>
    <w:rsid w:val="00EA3377"/>
    <w:rsid w:val="00EA4696"/>
    <w:rsid w:val="00EA596C"/>
    <w:rsid w:val="00EA7BA7"/>
    <w:rsid w:val="00EB029F"/>
    <w:rsid w:val="00EB4D7B"/>
    <w:rsid w:val="00EB55F7"/>
    <w:rsid w:val="00EB6E98"/>
    <w:rsid w:val="00EB73E2"/>
    <w:rsid w:val="00EC015B"/>
    <w:rsid w:val="00EC25F9"/>
    <w:rsid w:val="00EC27C0"/>
    <w:rsid w:val="00EC457E"/>
    <w:rsid w:val="00EC5279"/>
    <w:rsid w:val="00EC6F9F"/>
    <w:rsid w:val="00ED0130"/>
    <w:rsid w:val="00ED08ED"/>
    <w:rsid w:val="00ED25E8"/>
    <w:rsid w:val="00ED266C"/>
    <w:rsid w:val="00ED54CC"/>
    <w:rsid w:val="00ED7872"/>
    <w:rsid w:val="00EE2C3E"/>
    <w:rsid w:val="00EE3308"/>
    <w:rsid w:val="00EE34B2"/>
    <w:rsid w:val="00EE3761"/>
    <w:rsid w:val="00EE52DD"/>
    <w:rsid w:val="00EE7C5D"/>
    <w:rsid w:val="00EF5A53"/>
    <w:rsid w:val="00EF7293"/>
    <w:rsid w:val="00F011CD"/>
    <w:rsid w:val="00F02532"/>
    <w:rsid w:val="00F02D4B"/>
    <w:rsid w:val="00F0441E"/>
    <w:rsid w:val="00F06B1B"/>
    <w:rsid w:val="00F116AD"/>
    <w:rsid w:val="00F134D8"/>
    <w:rsid w:val="00F13B06"/>
    <w:rsid w:val="00F13C81"/>
    <w:rsid w:val="00F20050"/>
    <w:rsid w:val="00F236D9"/>
    <w:rsid w:val="00F23C8C"/>
    <w:rsid w:val="00F24A18"/>
    <w:rsid w:val="00F27BCF"/>
    <w:rsid w:val="00F30401"/>
    <w:rsid w:val="00F34308"/>
    <w:rsid w:val="00F34D61"/>
    <w:rsid w:val="00F400A9"/>
    <w:rsid w:val="00F423F1"/>
    <w:rsid w:val="00F42A05"/>
    <w:rsid w:val="00F43AAF"/>
    <w:rsid w:val="00F43ADB"/>
    <w:rsid w:val="00F458BC"/>
    <w:rsid w:val="00F46C6C"/>
    <w:rsid w:val="00F46D26"/>
    <w:rsid w:val="00F476E1"/>
    <w:rsid w:val="00F51557"/>
    <w:rsid w:val="00F51C3C"/>
    <w:rsid w:val="00F52305"/>
    <w:rsid w:val="00F60F9A"/>
    <w:rsid w:val="00F61041"/>
    <w:rsid w:val="00F65C4D"/>
    <w:rsid w:val="00F66BF6"/>
    <w:rsid w:val="00F66C37"/>
    <w:rsid w:val="00F67C8C"/>
    <w:rsid w:val="00F67E6B"/>
    <w:rsid w:val="00F7076D"/>
    <w:rsid w:val="00F72677"/>
    <w:rsid w:val="00F744CD"/>
    <w:rsid w:val="00F772B5"/>
    <w:rsid w:val="00F77E21"/>
    <w:rsid w:val="00F80ACD"/>
    <w:rsid w:val="00F83F10"/>
    <w:rsid w:val="00F840ED"/>
    <w:rsid w:val="00F85C86"/>
    <w:rsid w:val="00F87084"/>
    <w:rsid w:val="00F905F9"/>
    <w:rsid w:val="00F9263E"/>
    <w:rsid w:val="00FA0560"/>
    <w:rsid w:val="00FA163E"/>
    <w:rsid w:val="00FA69FF"/>
    <w:rsid w:val="00FA78D0"/>
    <w:rsid w:val="00FA7A1D"/>
    <w:rsid w:val="00FB149E"/>
    <w:rsid w:val="00FC041E"/>
    <w:rsid w:val="00FC0F64"/>
    <w:rsid w:val="00FC1248"/>
    <w:rsid w:val="00FC1758"/>
    <w:rsid w:val="00FC303A"/>
    <w:rsid w:val="00FC4116"/>
    <w:rsid w:val="00FD131E"/>
    <w:rsid w:val="00FD3845"/>
    <w:rsid w:val="00FD66A7"/>
    <w:rsid w:val="00FE1A8C"/>
    <w:rsid w:val="00FE490D"/>
    <w:rsid w:val="00FF0B24"/>
    <w:rsid w:val="00FF17C6"/>
    <w:rsid w:val="00FF2551"/>
    <w:rsid w:val="00FF2813"/>
    <w:rsid w:val="00FF3AE4"/>
    <w:rsid w:val="00FF3BB5"/>
    <w:rsid w:val="00FF4037"/>
    <w:rsid w:val="00FF55AF"/>
    <w:rsid w:val="00FF723F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SimSu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Pr>
      <w:rFonts w:ascii="SimSun" w:eastAsia="SimSun" w:hAnsi="SimSun" w:hint="eastAsia"/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Pr>
      <w:rFonts w:ascii="SimSun" w:eastAsia="SimSun" w:hAnsi="SimSun" w:hint="eastAsia"/>
      <w:sz w:val="24"/>
      <w:szCs w:val="24"/>
    </w:r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Pr>
      <w:rFonts w:ascii="SimSun" w:eastAsia="SimSun" w:hAnsi="SimSun" w:hint="eastAsia"/>
      <w:sz w:val="24"/>
      <w:szCs w:val="24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Pr>
      <w:rFonts w:ascii="Tahoma" w:eastAsia="SimSun" w:hAnsi="Tahoma" w:cs="Tahoma" w:hint="default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New Century Schlbk" w:eastAsia="SimSun" w:hAnsi="New Century Schlbk" w:cs="New Century Schlbk"/>
      <w:color w:val="000000"/>
      <w:sz w:val="24"/>
      <w:szCs w:val="24"/>
    </w:rPr>
  </w:style>
  <w:style w:type="paragraph" w:customStyle="1" w:styleId="A-orderinfo">
    <w:name w:val="A-orderinfo"/>
    <w:basedOn w:val="Default"/>
    <w:next w:val="Default"/>
    <w:pPr>
      <w:spacing w:before="180"/>
    </w:pPr>
    <w:rPr>
      <w:rFonts w:cs="Times New Roman"/>
      <w:color w:val="auto"/>
    </w:rPr>
  </w:style>
  <w:style w:type="paragraph" w:customStyle="1" w:styleId="A-cataloginfo">
    <w:name w:val="A-catalog info"/>
    <w:basedOn w:val="Default"/>
    <w:next w:val="Default"/>
    <w:rPr>
      <w:rFonts w:cs="Times New Roman"/>
      <w:color w:val="auto"/>
    </w:rPr>
  </w:style>
  <w:style w:type="paragraph" w:customStyle="1" w:styleId="A-subhead">
    <w:name w:val="A-subhead"/>
    <w:basedOn w:val="Default"/>
    <w:next w:val="Default"/>
    <w:pPr>
      <w:spacing w:before="120"/>
    </w:pPr>
    <w:rPr>
      <w:rFonts w:cs="Times New Roman"/>
      <w:color w:val="auto"/>
    </w:rPr>
  </w:style>
  <w:style w:type="paragraph" w:customStyle="1" w:styleId="A-bodytext">
    <w:name w:val="A-body text"/>
    <w:basedOn w:val="Default"/>
    <w:next w:val="Default"/>
    <w:pPr>
      <w:spacing w:before="40"/>
    </w:pPr>
    <w:rPr>
      <w:rFonts w:cs="Times New Roman"/>
      <w:color w:val="auto"/>
    </w:rPr>
  </w:style>
  <w:style w:type="paragraph" w:customStyle="1" w:styleId="M-bodytext">
    <w:name w:val="M-body text"/>
    <w:basedOn w:val="Default"/>
    <w:next w:val="Default"/>
    <w:pPr>
      <w:spacing w:after="40"/>
    </w:pPr>
    <w:rPr>
      <w:rFonts w:cs="Times New Roman"/>
      <w:color w:val="auto"/>
    </w:rPr>
  </w:style>
  <w:style w:type="character" w:customStyle="1" w:styleId="catnum">
    <w:name w:val="catnum"/>
    <w:basedOn w:val="DefaultParagraphFont"/>
    <w:rsid w:val="002D3942"/>
  </w:style>
  <w:style w:type="paragraph" w:styleId="ListParagraph">
    <w:name w:val="List Paragraph"/>
    <w:basedOn w:val="Normal"/>
    <w:uiPriority w:val="34"/>
    <w:qFormat/>
    <w:rsid w:val="002D3942"/>
    <w:pPr>
      <w:ind w:left="720"/>
      <w:contextualSpacing/>
    </w:pPr>
  </w:style>
  <w:style w:type="table" w:styleId="TableGrid">
    <w:name w:val="Table Grid"/>
    <w:basedOn w:val="TableNormal"/>
    <w:rsid w:val="002D3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SimSu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Pr>
      <w:rFonts w:ascii="SimSun" w:eastAsia="SimSun" w:hAnsi="SimSun" w:hint="eastAsia"/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Pr>
      <w:rFonts w:ascii="SimSun" w:eastAsia="SimSun" w:hAnsi="SimSun" w:hint="eastAsia"/>
      <w:sz w:val="24"/>
      <w:szCs w:val="24"/>
    </w:r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Pr>
      <w:rFonts w:ascii="SimSun" w:eastAsia="SimSun" w:hAnsi="SimSun" w:hint="eastAsia"/>
      <w:sz w:val="24"/>
      <w:szCs w:val="24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Pr>
      <w:rFonts w:ascii="Tahoma" w:eastAsia="SimSun" w:hAnsi="Tahoma" w:cs="Tahoma" w:hint="default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New Century Schlbk" w:eastAsia="SimSun" w:hAnsi="New Century Schlbk" w:cs="New Century Schlbk"/>
      <w:color w:val="000000"/>
      <w:sz w:val="24"/>
      <w:szCs w:val="24"/>
    </w:rPr>
  </w:style>
  <w:style w:type="paragraph" w:customStyle="1" w:styleId="A-orderinfo">
    <w:name w:val="A-orderinfo"/>
    <w:basedOn w:val="Default"/>
    <w:next w:val="Default"/>
    <w:pPr>
      <w:spacing w:before="180"/>
    </w:pPr>
    <w:rPr>
      <w:rFonts w:cs="Times New Roman"/>
      <w:color w:val="auto"/>
    </w:rPr>
  </w:style>
  <w:style w:type="paragraph" w:customStyle="1" w:styleId="A-cataloginfo">
    <w:name w:val="A-catalog info"/>
    <w:basedOn w:val="Default"/>
    <w:next w:val="Default"/>
    <w:rPr>
      <w:rFonts w:cs="Times New Roman"/>
      <w:color w:val="auto"/>
    </w:rPr>
  </w:style>
  <w:style w:type="paragraph" w:customStyle="1" w:styleId="A-subhead">
    <w:name w:val="A-subhead"/>
    <w:basedOn w:val="Default"/>
    <w:next w:val="Default"/>
    <w:pPr>
      <w:spacing w:before="120"/>
    </w:pPr>
    <w:rPr>
      <w:rFonts w:cs="Times New Roman"/>
      <w:color w:val="auto"/>
    </w:rPr>
  </w:style>
  <w:style w:type="paragraph" w:customStyle="1" w:styleId="A-bodytext">
    <w:name w:val="A-body text"/>
    <w:basedOn w:val="Default"/>
    <w:next w:val="Default"/>
    <w:pPr>
      <w:spacing w:before="40"/>
    </w:pPr>
    <w:rPr>
      <w:rFonts w:cs="Times New Roman"/>
      <w:color w:val="auto"/>
    </w:rPr>
  </w:style>
  <w:style w:type="paragraph" w:customStyle="1" w:styleId="M-bodytext">
    <w:name w:val="M-body text"/>
    <w:basedOn w:val="Default"/>
    <w:next w:val="Default"/>
    <w:pPr>
      <w:spacing w:after="40"/>
    </w:pPr>
    <w:rPr>
      <w:rFonts w:cs="Times New Roman"/>
      <w:color w:val="auto"/>
    </w:rPr>
  </w:style>
  <w:style w:type="character" w:customStyle="1" w:styleId="catnum">
    <w:name w:val="catnum"/>
    <w:basedOn w:val="DefaultParagraphFont"/>
    <w:rsid w:val="002D3942"/>
  </w:style>
  <w:style w:type="paragraph" w:styleId="ListParagraph">
    <w:name w:val="List Paragraph"/>
    <w:basedOn w:val="Normal"/>
    <w:uiPriority w:val="34"/>
    <w:qFormat/>
    <w:rsid w:val="002D3942"/>
    <w:pPr>
      <w:ind w:left="720"/>
      <w:contextualSpacing/>
    </w:pPr>
  </w:style>
  <w:style w:type="table" w:styleId="TableGrid">
    <w:name w:val="Table Grid"/>
    <w:basedOn w:val="TableNormal"/>
    <w:rsid w:val="002D3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2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5B874-49FA-484E-9AD5-951BEFC1E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anti-human Tie1 Antibody</vt:lpstr>
    </vt:vector>
  </TitlesOfParts>
  <Company>BIDMC</Company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anti-human Tie1 Antibody</dc:title>
  <dc:creator>H YUAN</dc:creator>
  <cp:lastModifiedBy>Haitao Yuan</cp:lastModifiedBy>
  <cp:revision>3</cp:revision>
  <cp:lastPrinted>2016-04-13T01:21:00Z</cp:lastPrinted>
  <dcterms:created xsi:type="dcterms:W3CDTF">2016-05-17T14:33:00Z</dcterms:created>
  <dcterms:modified xsi:type="dcterms:W3CDTF">2016-05-17T15:11:00Z</dcterms:modified>
</cp:coreProperties>
</file>